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0" w:type="dxa"/>
        <w:tblInd w:w="2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7"/>
        <w:gridCol w:w="5993"/>
      </w:tblGrid>
      <w:tr w:rsidR="0015021A" w:rsidRPr="00395129" w14:paraId="020C1B63" w14:textId="77777777" w:rsidTr="004C12B3">
        <w:trPr>
          <w:trHeight w:hRule="exact" w:val="1988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14:paraId="53BA8B5C" w14:textId="77777777" w:rsidR="0015021A" w:rsidRPr="00395129" w:rsidRDefault="003E023D" w:rsidP="00CF4C55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3BB0AA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74850" cy="1124585"/>
                  <wp:effectExtent l="0" t="0" r="0" b="0"/>
                  <wp:wrapSquare wrapText="bothSides"/>
                  <wp:docPr id="2" name="Picture 3" descr="Description: _Pic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_Pic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124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14:paraId="3681196C" w14:textId="77777777" w:rsidR="0015021A" w:rsidRPr="00395129" w:rsidRDefault="0015021A" w:rsidP="00CF4C55">
            <w:pPr>
              <w:spacing w:before="36" w:line="206" w:lineRule="auto"/>
              <w:ind w:right="1035"/>
              <w:rPr>
                <w:rFonts w:ascii="Arial" w:hAnsi="Arial" w:cs="Arial"/>
                <w:b/>
                <w:bCs/>
                <w:spacing w:val="-8"/>
                <w:w w:val="105"/>
                <w:sz w:val="28"/>
                <w:szCs w:val="28"/>
              </w:rPr>
            </w:pPr>
            <w:r w:rsidRPr="00395129">
              <w:rPr>
                <w:rFonts w:ascii="Arial" w:hAnsi="Arial" w:cs="Arial"/>
                <w:b/>
                <w:bCs/>
                <w:spacing w:val="-8"/>
                <w:w w:val="105"/>
                <w:sz w:val="28"/>
                <w:szCs w:val="28"/>
              </w:rPr>
              <w:t xml:space="preserve">          </w:t>
            </w:r>
          </w:p>
          <w:p w14:paraId="11B90546" w14:textId="77777777" w:rsidR="0015021A" w:rsidRPr="00395129" w:rsidRDefault="0015021A" w:rsidP="00CF4C55">
            <w:pPr>
              <w:spacing w:before="1440" w:line="213" w:lineRule="exact"/>
              <w:ind w:right="2205"/>
              <w:rPr>
                <w:rFonts w:ascii="Arial" w:hAnsi="Arial" w:cs="Arial"/>
                <w:spacing w:val="-8"/>
                <w:w w:val="105"/>
                <w:sz w:val="28"/>
                <w:szCs w:val="28"/>
              </w:rPr>
            </w:pPr>
            <w:r w:rsidRPr="00395129">
              <w:rPr>
                <w:rFonts w:ascii="Arial" w:hAnsi="Arial" w:cs="Arial"/>
                <w:spacing w:val="-8"/>
                <w:w w:val="105"/>
                <w:sz w:val="28"/>
                <w:szCs w:val="28"/>
              </w:rPr>
              <w:t xml:space="preserve">            </w:t>
            </w:r>
          </w:p>
        </w:tc>
      </w:tr>
    </w:tbl>
    <w:p w14:paraId="258346FC" w14:textId="77777777" w:rsidR="0015021A" w:rsidRDefault="0015021A" w:rsidP="00CF4C55">
      <w:pPr>
        <w:spacing w:line="206" w:lineRule="auto"/>
        <w:rPr>
          <w:rFonts w:ascii="Georgia" w:hAnsi="Georgia" w:cs="Arial"/>
          <w:b/>
          <w:bCs/>
          <w:spacing w:val="-8"/>
          <w:w w:val="105"/>
          <w:u w:val="single"/>
        </w:rPr>
      </w:pPr>
    </w:p>
    <w:p w14:paraId="3846F6DC" w14:textId="77777777" w:rsidR="00417064" w:rsidRPr="00BB2DA2" w:rsidRDefault="0062415C" w:rsidP="00BB2DA2">
      <w:pPr>
        <w:rPr>
          <w:b/>
        </w:rPr>
      </w:pPr>
      <w:r w:rsidRPr="00BB2DA2">
        <w:rPr>
          <w:b/>
        </w:rPr>
        <w:t>Elected Statewide Reimbursement</w:t>
      </w:r>
      <w:r w:rsidR="00CF4C55" w:rsidRPr="00BB2DA2">
        <w:rPr>
          <w:b/>
        </w:rPr>
        <w:t xml:space="preserve"> Policy</w:t>
      </w:r>
      <w:r w:rsidR="00417064" w:rsidRPr="00BB2DA2">
        <w:rPr>
          <w:b/>
        </w:rPr>
        <w:t xml:space="preserve"> </w:t>
      </w:r>
      <w:r w:rsidR="00417064" w:rsidRPr="00BB2DA2">
        <w:rPr>
          <w:b/>
        </w:rPr>
        <w:tab/>
      </w:r>
    </w:p>
    <w:p w14:paraId="15792114" w14:textId="77777777" w:rsidR="00417064" w:rsidRPr="00BB2DA2" w:rsidRDefault="00417064" w:rsidP="00BB2DA2"/>
    <w:p w14:paraId="62F6B6DC" w14:textId="77777777" w:rsidR="00417064" w:rsidRPr="00BB2DA2" w:rsidRDefault="00417064" w:rsidP="00BB2DA2">
      <w:bookmarkStart w:id="0" w:name="_Hlk25137025"/>
      <w:r w:rsidRPr="00BB2DA2">
        <w:t xml:space="preserve">Delegate Assembly Revision Date: </w:t>
      </w:r>
      <w:bookmarkEnd w:id="0"/>
      <w:r w:rsidRPr="00BB2DA2">
        <w:t>9/25/2005</w:t>
      </w:r>
    </w:p>
    <w:p w14:paraId="2DD1F169" w14:textId="77777777" w:rsidR="00417064" w:rsidRPr="00BB2DA2" w:rsidRDefault="00417064" w:rsidP="00BB2DA2">
      <w:r w:rsidRPr="00BB2DA2">
        <w:t>Board of Directors Revision Date: 5/21/2010</w:t>
      </w:r>
    </w:p>
    <w:p w14:paraId="6A271AAA" w14:textId="77777777" w:rsidR="00417064" w:rsidRPr="00BB2DA2" w:rsidRDefault="00417064" w:rsidP="00BB2DA2">
      <w:r w:rsidRPr="00BB2DA2">
        <w:t>Board of Directors Revision Date: 3/15/2013</w:t>
      </w:r>
    </w:p>
    <w:p w14:paraId="7936DD92" w14:textId="77777777" w:rsidR="000E1E6C" w:rsidRDefault="000E1E6C" w:rsidP="00BB2DA2">
      <w:r w:rsidRPr="00BB2DA2">
        <w:t xml:space="preserve">Delegate Assembly Revision Date: </w:t>
      </w:r>
      <w:proofErr w:type="gramStart"/>
      <w:r w:rsidRPr="00BB2DA2">
        <w:t>9/21/2019</w:t>
      </w:r>
      <w:proofErr w:type="gramEnd"/>
    </w:p>
    <w:p w14:paraId="2BE0AAFD" w14:textId="00F7DEA2" w:rsidR="003E023D" w:rsidRPr="00BB2DA2" w:rsidRDefault="003E023D" w:rsidP="00BB2DA2">
      <w:r>
        <w:t>Board of Directors Revision Date: 1/19/2024</w:t>
      </w:r>
    </w:p>
    <w:p w14:paraId="48DF26DF" w14:textId="77777777" w:rsidR="0015021A" w:rsidRPr="00BB2DA2" w:rsidRDefault="0015021A" w:rsidP="00BB2DA2"/>
    <w:p w14:paraId="33E3042A" w14:textId="77777777" w:rsidR="0015021A" w:rsidRPr="00BB2DA2" w:rsidRDefault="0015021A" w:rsidP="00BB2DA2">
      <w:r w:rsidRPr="00BB2DA2">
        <w:rPr>
          <w:b/>
        </w:rPr>
        <w:t>Summary</w:t>
      </w:r>
      <w:r w:rsidRPr="00BB2DA2">
        <w:t xml:space="preserve">: </w:t>
      </w:r>
      <w:r w:rsidR="00753421" w:rsidRPr="00BB2DA2">
        <w:t>Statewide Officer and special support reimbursement</w:t>
      </w:r>
    </w:p>
    <w:p w14:paraId="2723A038" w14:textId="77777777" w:rsidR="0015021A" w:rsidRPr="00BB2DA2" w:rsidRDefault="0015021A" w:rsidP="00BB2DA2"/>
    <w:p w14:paraId="1CC63978" w14:textId="77777777" w:rsidR="0062415C" w:rsidRPr="00BB2DA2" w:rsidRDefault="0062415C" w:rsidP="00BB2DA2">
      <w:r w:rsidRPr="00BB2DA2">
        <w:rPr>
          <w:b/>
        </w:rPr>
        <w:t>Policy</w:t>
      </w:r>
      <w:r w:rsidRPr="00BB2DA2">
        <w:t>:</w:t>
      </w:r>
    </w:p>
    <w:p w14:paraId="7B97821D" w14:textId="77777777" w:rsidR="0062415C" w:rsidRDefault="0062415C" w:rsidP="00FE2828">
      <w:pPr>
        <w:spacing w:line="276" w:lineRule="auto"/>
        <w:rPr>
          <w:rFonts w:ascii="Georgia" w:hAnsi="Georgia" w:cs="Arial"/>
          <w:spacing w:val="-3"/>
        </w:rPr>
      </w:pPr>
    </w:p>
    <w:p w14:paraId="7E678459" w14:textId="77777777" w:rsidR="00753421" w:rsidRPr="00BB2DA2" w:rsidRDefault="00753421" w:rsidP="00BB2DA2">
      <w:pPr>
        <w:rPr>
          <w:b/>
        </w:rPr>
      </w:pPr>
      <w:r w:rsidRPr="00BB2DA2">
        <w:rPr>
          <w:b/>
        </w:rPr>
        <w:t>PRESIDENT</w:t>
      </w:r>
    </w:p>
    <w:p w14:paraId="644D473C" w14:textId="77777777" w:rsidR="0051453F" w:rsidRPr="00BB2DA2" w:rsidRDefault="0015021A" w:rsidP="00BB2DA2">
      <w:pPr>
        <w:numPr>
          <w:ilvl w:val="0"/>
          <w:numId w:val="11"/>
        </w:numPr>
        <w:spacing w:after="240"/>
      </w:pPr>
      <w:r w:rsidRPr="00BB2DA2">
        <w:t>MAPE President shall be paid per the</w:t>
      </w:r>
      <w:r w:rsidR="003170EB" w:rsidRPr="00BB2DA2">
        <w:t xml:space="preserve"> MAPE Reimbursement P</w:t>
      </w:r>
      <w:r w:rsidR="00CF4C55" w:rsidRPr="00BB2DA2">
        <w:t>olicy for lost t</w:t>
      </w:r>
      <w:r w:rsidRPr="00BB2DA2">
        <w:t>ime</w:t>
      </w:r>
      <w:r w:rsidR="00753421" w:rsidRPr="00BB2DA2">
        <w:t xml:space="preserve">, </w:t>
      </w:r>
      <w:r w:rsidRPr="00BB2DA2">
        <w:t>budgeted at 50</w:t>
      </w:r>
      <w:r w:rsidR="00CF4C55" w:rsidRPr="00BB2DA2">
        <w:t xml:space="preserve"> percent</w:t>
      </w:r>
      <w:r w:rsidRPr="00BB2DA2">
        <w:t xml:space="preserve"> of the yearly 19L salary. </w:t>
      </w:r>
      <w:r w:rsidR="000E1E6C" w:rsidRPr="00BB2DA2">
        <w:t>If the President’s regular hourly wage is lower than the median hourly wage of all MAPE represented employees, then the President shall be reimbursed for lost time at the median wage.</w:t>
      </w:r>
    </w:p>
    <w:p w14:paraId="03B2C136" w14:textId="77777777" w:rsidR="0015021A" w:rsidRPr="00BB2DA2" w:rsidRDefault="0015021A" w:rsidP="00BB2DA2">
      <w:pPr>
        <w:numPr>
          <w:ilvl w:val="0"/>
          <w:numId w:val="11"/>
        </w:numPr>
        <w:spacing w:after="240"/>
      </w:pPr>
      <w:r w:rsidRPr="00BB2DA2">
        <w:t>If the President takes leave without pay</w:t>
      </w:r>
      <w:r w:rsidR="00FE2828" w:rsidRPr="00BB2DA2">
        <w:t>, the</w:t>
      </w:r>
      <w:r w:rsidR="00CF4C55" w:rsidRPr="00BB2DA2">
        <w:t xml:space="preserve"> MSRS election under the lost t</w:t>
      </w:r>
      <w:r w:rsidRPr="00BB2DA2">
        <w:t>ime provision is applicable.</w:t>
      </w:r>
      <w:r w:rsidR="000E1E6C" w:rsidRPr="00BB2DA2">
        <w:t xml:space="preserve"> Such contributions shall be made based on the President’s regular hourly wage.</w:t>
      </w:r>
    </w:p>
    <w:p w14:paraId="7BAAE41E" w14:textId="77777777" w:rsidR="00FE2828" w:rsidRPr="00BB2DA2" w:rsidRDefault="0015021A" w:rsidP="00BB2DA2">
      <w:pPr>
        <w:numPr>
          <w:ilvl w:val="0"/>
          <w:numId w:val="11"/>
        </w:numPr>
        <w:spacing w:after="240"/>
      </w:pPr>
      <w:r w:rsidRPr="00BB2DA2">
        <w:t xml:space="preserve">The MAPE President shall be eligible for insurance coverage in accordance with the </w:t>
      </w:r>
      <w:r w:rsidR="00CF4C55" w:rsidRPr="00BB2DA2">
        <w:t>MAPE/s</w:t>
      </w:r>
      <w:r w:rsidRPr="00BB2DA2">
        <w:t>tate contract.</w:t>
      </w:r>
    </w:p>
    <w:p w14:paraId="65FE593E" w14:textId="77777777" w:rsidR="0015021A" w:rsidRPr="00BB2DA2" w:rsidRDefault="00753421" w:rsidP="00BB2DA2">
      <w:pPr>
        <w:numPr>
          <w:ilvl w:val="0"/>
          <w:numId w:val="11"/>
        </w:numPr>
        <w:spacing w:after="240"/>
      </w:pPr>
      <w:r w:rsidRPr="00BB2DA2">
        <w:t>A MAPE President who uses a personal vehicle for MAPE business shall receive the monthly vehicle allowance in accordance with the MAPE Executive Director contract</w:t>
      </w:r>
      <w:r w:rsidR="00A253F8" w:rsidRPr="00BB2DA2">
        <w:t xml:space="preserve"> (starting in January of 2014)</w:t>
      </w:r>
      <w:r w:rsidRPr="00BB2DA2">
        <w:t>.</w:t>
      </w:r>
    </w:p>
    <w:p w14:paraId="69B29396" w14:textId="77777777" w:rsidR="0015021A" w:rsidRPr="00BB2DA2" w:rsidRDefault="0015021A" w:rsidP="00BB2DA2">
      <w:pPr>
        <w:numPr>
          <w:ilvl w:val="0"/>
          <w:numId w:val="11"/>
        </w:numPr>
        <w:spacing w:after="240"/>
      </w:pPr>
      <w:r w:rsidRPr="00BB2DA2">
        <w:t>When a President is elected whose current</w:t>
      </w:r>
      <w:r w:rsidR="00CF4C55" w:rsidRPr="00BB2DA2">
        <w:t xml:space="preserve"> workstation is within </w:t>
      </w:r>
      <w:proofErr w:type="gramStart"/>
      <w:r w:rsidR="00753421" w:rsidRPr="00BB2DA2">
        <w:t>50 mile</w:t>
      </w:r>
      <w:proofErr w:type="gramEnd"/>
      <w:r w:rsidR="00753421" w:rsidRPr="00BB2DA2">
        <w:t xml:space="preserve"> radius of the MAPE office</w:t>
      </w:r>
      <w:r w:rsidRPr="00BB2DA2">
        <w:t>, MAPE will pay for overnight lodging when necessary. If the President can’t ge</w:t>
      </w:r>
      <w:r w:rsidR="00CF4C55" w:rsidRPr="00BB2DA2">
        <w:t>t home, be home for eight hours</w:t>
      </w:r>
      <w:r w:rsidRPr="00BB2DA2">
        <w:t xml:space="preserve"> and get back to </w:t>
      </w:r>
      <w:r w:rsidR="00753421" w:rsidRPr="00BB2DA2">
        <w:t xml:space="preserve">the </w:t>
      </w:r>
      <w:r w:rsidRPr="00BB2DA2">
        <w:t xml:space="preserve">MAPE </w:t>
      </w:r>
      <w:r w:rsidR="00753421" w:rsidRPr="00BB2DA2">
        <w:t xml:space="preserve">office </w:t>
      </w:r>
      <w:r w:rsidRPr="00BB2DA2">
        <w:t>or to work by the start of the normal work day, the President is eligible for overnight lodging. Other areas of reimbursement are to be consistent with the MAPE contract.</w:t>
      </w:r>
    </w:p>
    <w:p w14:paraId="02D4C932" w14:textId="77777777" w:rsidR="00FE2828" w:rsidRPr="00BB2DA2" w:rsidRDefault="00FE2828" w:rsidP="00BB2DA2"/>
    <w:p w14:paraId="383745A0" w14:textId="77777777" w:rsidR="00C54C0A" w:rsidRPr="00BB2DA2" w:rsidRDefault="00C54C0A" w:rsidP="00BB2DA2">
      <w:pPr>
        <w:rPr>
          <w:b/>
        </w:rPr>
      </w:pPr>
      <w:r w:rsidRPr="00BB2DA2">
        <w:rPr>
          <w:b/>
        </w:rPr>
        <w:t>STATEWIDE OFFICER</w:t>
      </w:r>
    </w:p>
    <w:p w14:paraId="3B76E963" w14:textId="77777777" w:rsidR="00FE2828" w:rsidRPr="00BB2DA2" w:rsidRDefault="0015021A" w:rsidP="00BB2DA2">
      <w:pPr>
        <w:numPr>
          <w:ilvl w:val="0"/>
          <w:numId w:val="11"/>
        </w:numPr>
        <w:spacing w:after="240"/>
      </w:pPr>
      <w:r w:rsidRPr="00BB2DA2">
        <w:t xml:space="preserve">MAPE </w:t>
      </w:r>
      <w:r w:rsidR="00753421" w:rsidRPr="00BB2DA2">
        <w:t xml:space="preserve">statewide </w:t>
      </w:r>
      <w:r w:rsidRPr="00BB2DA2">
        <w:t xml:space="preserve">officers shall be reimbursed for lost time and other expenses under the </w:t>
      </w:r>
      <w:r w:rsidR="0062415C" w:rsidRPr="00BB2DA2">
        <w:t xml:space="preserve">  </w:t>
      </w:r>
      <w:r w:rsidRPr="00BB2DA2">
        <w:t>same provisions which pertain to MAPE members.</w:t>
      </w:r>
      <w:r w:rsidR="00753421" w:rsidRPr="00BB2DA2">
        <w:t xml:space="preserve">  All expenses (mileage, lodging, meals, parking, travel and other related expenses) while on MAPE business will be paid according to the MAPE Reimbursement Policy.</w:t>
      </w:r>
    </w:p>
    <w:p w14:paraId="5BE458C6" w14:textId="77777777" w:rsidR="00FE2828" w:rsidRPr="00BB2DA2" w:rsidRDefault="0015021A" w:rsidP="00BB2DA2">
      <w:pPr>
        <w:numPr>
          <w:ilvl w:val="0"/>
          <w:numId w:val="11"/>
        </w:numPr>
        <w:spacing w:after="240"/>
      </w:pPr>
      <w:r w:rsidRPr="00BB2DA2">
        <w:t xml:space="preserve">When </w:t>
      </w:r>
      <w:r w:rsidR="00753421" w:rsidRPr="00BB2DA2">
        <w:t>a</w:t>
      </w:r>
      <w:r w:rsidRPr="00BB2DA2">
        <w:t xml:space="preserve"> MAPE </w:t>
      </w:r>
      <w:r w:rsidR="00753421" w:rsidRPr="00BB2DA2">
        <w:t xml:space="preserve">statewide </w:t>
      </w:r>
      <w:r w:rsidRPr="00BB2DA2">
        <w:t xml:space="preserve">officer </w:t>
      </w:r>
      <w:r w:rsidR="00753421" w:rsidRPr="00BB2DA2">
        <w:t>is</w:t>
      </w:r>
      <w:r w:rsidRPr="00BB2DA2">
        <w:t xml:space="preserve"> required by the Board of Directors to be at MAPE full time, </w:t>
      </w:r>
      <w:r w:rsidRPr="00BB2DA2">
        <w:lastRenderedPageBreak/>
        <w:t xml:space="preserve">they shall accrue vacation and sick leave accruals at their normal rate of </w:t>
      </w:r>
      <w:r w:rsidR="00CF4C55" w:rsidRPr="00BB2DA2">
        <w:t>accrual in s</w:t>
      </w:r>
      <w:r w:rsidRPr="00BB2DA2">
        <w:t>tate servi</w:t>
      </w:r>
      <w:r w:rsidR="00CF4C55" w:rsidRPr="00BB2DA2">
        <w:t>ce</w:t>
      </w:r>
      <w:r w:rsidR="00753421" w:rsidRPr="00BB2DA2">
        <w:t xml:space="preserve">, retroactive to the start date of the </w:t>
      </w:r>
      <w:proofErr w:type="gramStart"/>
      <w:r w:rsidR="00753421" w:rsidRPr="00BB2DA2">
        <w:t>full time</w:t>
      </w:r>
      <w:proofErr w:type="gramEnd"/>
      <w:r w:rsidR="00753421" w:rsidRPr="00BB2DA2">
        <w:t xml:space="preserve"> leave</w:t>
      </w:r>
      <w:r w:rsidR="00CF4C55" w:rsidRPr="00BB2DA2">
        <w:t>. This applies only while on full time lost t</w:t>
      </w:r>
      <w:r w:rsidRPr="00BB2DA2">
        <w:t>ime. Upon completion of their term</w:t>
      </w:r>
      <w:r w:rsidR="00CF4C55" w:rsidRPr="00BB2DA2">
        <w:t>,</w:t>
      </w:r>
      <w:r w:rsidRPr="00BB2DA2">
        <w:t xml:space="preserve"> the vacation accrual shall be liquidated in cash.</w:t>
      </w:r>
    </w:p>
    <w:p w14:paraId="622E8DA7" w14:textId="77777777" w:rsidR="00FE2828" w:rsidRPr="00BB2DA2" w:rsidRDefault="0015021A" w:rsidP="00BB2DA2">
      <w:pPr>
        <w:numPr>
          <w:ilvl w:val="0"/>
          <w:numId w:val="11"/>
        </w:numPr>
        <w:spacing w:after="240"/>
      </w:pPr>
      <w:r w:rsidRPr="00BB2DA2">
        <w:t xml:space="preserve">When a </w:t>
      </w:r>
      <w:r w:rsidR="00C54C0A" w:rsidRPr="00BB2DA2">
        <w:t xml:space="preserve">MAPE </w:t>
      </w:r>
      <w:r w:rsidRPr="00BB2DA2">
        <w:t xml:space="preserve">statewide officer is elected whose </w:t>
      </w:r>
      <w:r w:rsidR="00CF4C55" w:rsidRPr="00BB2DA2">
        <w:t xml:space="preserve">workstation is outside </w:t>
      </w:r>
      <w:r w:rsidR="00753421" w:rsidRPr="00BB2DA2">
        <w:t xml:space="preserve">a </w:t>
      </w:r>
      <w:proofErr w:type="gramStart"/>
      <w:r w:rsidR="00753421" w:rsidRPr="00BB2DA2">
        <w:t>50 mile</w:t>
      </w:r>
      <w:proofErr w:type="gramEnd"/>
      <w:r w:rsidR="00753421" w:rsidRPr="00BB2DA2">
        <w:t xml:space="preserve"> radius of the MAPE office</w:t>
      </w:r>
      <w:r w:rsidRPr="00BB2DA2">
        <w:t>, MAPE may pay for lodging in the form of procuring an apartment</w:t>
      </w:r>
      <w:r w:rsidR="00753421" w:rsidRPr="00BB2DA2">
        <w:t xml:space="preserve">, based on hotel/apartment cost </w:t>
      </w:r>
      <w:r w:rsidR="00FE2828" w:rsidRPr="00BB2DA2">
        <w:t>comparison. The</w:t>
      </w:r>
      <w:r w:rsidR="00753421" w:rsidRPr="00BB2DA2">
        <w:t xml:space="preserve"> procurement should</w:t>
      </w:r>
      <w:r w:rsidRPr="00BB2DA2">
        <w:t xml:space="preserve"> be</w:t>
      </w:r>
      <w:r w:rsidR="00753421" w:rsidRPr="00BB2DA2">
        <w:t xml:space="preserve"> approved and</w:t>
      </w:r>
      <w:r w:rsidRPr="00BB2DA2">
        <w:t xml:space="preserve"> reviewed on an annual basis</w:t>
      </w:r>
      <w:r w:rsidR="00753421" w:rsidRPr="00BB2DA2">
        <w:t xml:space="preserve"> by the board of directors</w:t>
      </w:r>
      <w:r w:rsidRPr="00BB2DA2">
        <w:t>.</w:t>
      </w:r>
    </w:p>
    <w:p w14:paraId="2EFD24D3" w14:textId="77777777" w:rsidR="00FE2828" w:rsidRPr="00BB2DA2" w:rsidRDefault="00980390" w:rsidP="00BB2DA2">
      <w:pPr>
        <w:numPr>
          <w:ilvl w:val="0"/>
          <w:numId w:val="11"/>
        </w:numPr>
        <w:spacing w:after="240"/>
      </w:pPr>
      <w:r w:rsidRPr="00BB2DA2">
        <w:t>The</w:t>
      </w:r>
      <w:r w:rsidR="00C54C0A" w:rsidRPr="00BB2DA2">
        <w:t xml:space="preserve"> </w:t>
      </w:r>
      <w:r w:rsidR="00FE2828" w:rsidRPr="00BB2DA2">
        <w:t>MAPE Statewide</w:t>
      </w:r>
      <w:r w:rsidR="00C54C0A" w:rsidRPr="00BB2DA2">
        <w:t xml:space="preserve"> </w:t>
      </w:r>
      <w:r w:rsidRPr="00BB2DA2">
        <w:t xml:space="preserve">Treasurer shall be compensated at </w:t>
      </w:r>
      <w:r w:rsidR="00C54C0A" w:rsidRPr="00BB2DA2">
        <w:t xml:space="preserve">their rate of pay </w:t>
      </w:r>
      <w:r w:rsidRPr="00BB2DA2">
        <w:t>for hours worked outside of their normal work hours.</w:t>
      </w:r>
      <w:r w:rsidR="00011352" w:rsidRPr="00BB2DA2">
        <w:t xml:space="preserve">  The MAPE Statewide President may bank hours worked outside their normal work hours in a compensatory bank, consistent with the provisions in the agreement between MAPE and the State of Minnesota</w:t>
      </w:r>
    </w:p>
    <w:p w14:paraId="407A6E5F" w14:textId="77777777" w:rsidR="00C54C0A" w:rsidRDefault="00C54C0A" w:rsidP="00BB2DA2">
      <w:pPr>
        <w:numPr>
          <w:ilvl w:val="0"/>
          <w:numId w:val="11"/>
        </w:numPr>
        <w:spacing w:after="240"/>
      </w:pPr>
      <w:r w:rsidRPr="00BB2DA2">
        <w:t>MAPE statewide officers will be provided a MAPE cell phone or reimbursement of up to the negotiated billing rate for MAPE staff.</w:t>
      </w:r>
    </w:p>
    <w:p w14:paraId="202BC9E0" w14:textId="3CB62197" w:rsidR="003E023D" w:rsidRPr="003E023D" w:rsidRDefault="003E023D" w:rsidP="003E023D">
      <w:pPr>
        <w:widowControl/>
        <w:numPr>
          <w:ilvl w:val="0"/>
          <w:numId w:val="11"/>
        </w:numPr>
        <w:kinsoku/>
        <w:autoSpaceDE w:val="0"/>
        <w:autoSpaceDN w:val="0"/>
        <w:adjustRightInd w:val="0"/>
        <w:rPr>
          <w:rFonts w:eastAsia="Calibri"/>
          <w:color w:val="333F4E"/>
        </w:rPr>
      </w:pPr>
      <w:r w:rsidRPr="003E023D">
        <w:rPr>
          <w:rFonts w:eastAsia="Calibri"/>
          <w:color w:val="333F4E"/>
        </w:rPr>
        <w:t xml:space="preserve">The MAPE President, Vice President, Treasurer, and Secretary will be </w:t>
      </w:r>
      <w:proofErr w:type="gramStart"/>
      <w:r w:rsidRPr="003E023D">
        <w:rPr>
          <w:rFonts w:eastAsia="Calibri"/>
          <w:color w:val="333F4E"/>
        </w:rPr>
        <w:t>provided</w:t>
      </w:r>
      <w:proofErr w:type="gramEnd"/>
    </w:p>
    <w:p w14:paraId="5E2864D5" w14:textId="4AEC553D" w:rsidR="003E023D" w:rsidRPr="003E023D" w:rsidRDefault="003E023D" w:rsidP="003E023D">
      <w:pPr>
        <w:spacing w:after="240"/>
        <w:ind w:left="720"/>
      </w:pPr>
      <w:r w:rsidRPr="003E023D">
        <w:rPr>
          <w:rFonts w:eastAsia="Calibri"/>
          <w:color w:val="333F4E"/>
        </w:rPr>
        <w:t>the same internet allowance as MAPE staff effective January 1, 2024.</w:t>
      </w:r>
    </w:p>
    <w:p w14:paraId="33E9036F" w14:textId="77777777" w:rsidR="00C54C0A" w:rsidRPr="00BB2DA2" w:rsidRDefault="00C54C0A" w:rsidP="00BB2DA2"/>
    <w:p w14:paraId="0D3599C3" w14:textId="77777777" w:rsidR="00C54C0A" w:rsidRPr="00BB2DA2" w:rsidRDefault="00C54C0A" w:rsidP="00BB2DA2">
      <w:pPr>
        <w:rPr>
          <w:b/>
        </w:rPr>
      </w:pPr>
      <w:r w:rsidRPr="00BB2DA2">
        <w:rPr>
          <w:b/>
        </w:rPr>
        <w:t>SPECIAL SUPPORT</w:t>
      </w:r>
    </w:p>
    <w:p w14:paraId="5C58788C" w14:textId="77777777" w:rsidR="00FE2828" w:rsidRPr="00BB2DA2" w:rsidRDefault="00980390" w:rsidP="003E023D">
      <w:pPr>
        <w:numPr>
          <w:ilvl w:val="0"/>
          <w:numId w:val="12"/>
        </w:numPr>
        <w:spacing w:after="240"/>
      </w:pPr>
      <w:r w:rsidRPr="00BB2DA2">
        <w:t>Computer support shall be compensated at</w:t>
      </w:r>
      <w:r w:rsidR="00C54C0A" w:rsidRPr="00BB2DA2">
        <w:t xml:space="preserve"> their rate of pay</w:t>
      </w:r>
      <w:r w:rsidRPr="00BB2DA2">
        <w:t xml:space="preserve"> for hours worked outside their normal work hours.</w:t>
      </w:r>
    </w:p>
    <w:p w14:paraId="4915813B" w14:textId="77777777" w:rsidR="0015021A" w:rsidRPr="00BB2DA2" w:rsidRDefault="00980390" w:rsidP="003E023D">
      <w:pPr>
        <w:numPr>
          <w:ilvl w:val="0"/>
          <w:numId w:val="12"/>
        </w:numPr>
        <w:spacing w:after="240"/>
      </w:pPr>
      <w:r w:rsidRPr="00BB2DA2">
        <w:t xml:space="preserve">Trustees and/or appointed members serving on the credentials committee shall be compensated at </w:t>
      </w:r>
      <w:r w:rsidR="00C54C0A" w:rsidRPr="00BB2DA2">
        <w:t xml:space="preserve">their rate of pay </w:t>
      </w:r>
      <w:r w:rsidRPr="00BB2DA2">
        <w:t>for hours worked outside of their normal work hours, up to a maximum of eight hours.</w:t>
      </w:r>
    </w:p>
    <w:p w14:paraId="590B7D43" w14:textId="77777777" w:rsidR="0015021A" w:rsidRPr="00BB2DA2" w:rsidRDefault="0015021A" w:rsidP="00BB2DA2"/>
    <w:p w14:paraId="28D16276" w14:textId="77777777" w:rsidR="0062415C" w:rsidRPr="00BB2DA2" w:rsidRDefault="0062415C" w:rsidP="00BB2DA2"/>
    <w:sectPr w:rsidR="0062415C" w:rsidRPr="00BB2DA2" w:rsidSect="004544CA">
      <w:footerReference w:type="even" r:id="rId9"/>
      <w:footerReference w:type="default" r:id="rId10"/>
      <w:pgSz w:w="12240" w:h="15840"/>
      <w:pgMar w:top="720" w:right="1037" w:bottom="144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840D" w14:textId="77777777" w:rsidR="004544CA" w:rsidRDefault="004544CA">
      <w:r>
        <w:separator/>
      </w:r>
    </w:p>
  </w:endnote>
  <w:endnote w:type="continuationSeparator" w:id="0">
    <w:p w14:paraId="14E5672B" w14:textId="77777777" w:rsidR="004544CA" w:rsidRDefault="0045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76C4" w14:textId="77777777" w:rsidR="004C12B3" w:rsidRDefault="004C12B3">
    <w:pPr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312B" w14:textId="77777777" w:rsidR="004C12B3" w:rsidRDefault="004C12B3">
    <w:pPr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91AE" w14:textId="77777777" w:rsidR="004544CA" w:rsidRDefault="004544CA">
      <w:r>
        <w:separator/>
      </w:r>
    </w:p>
  </w:footnote>
  <w:footnote w:type="continuationSeparator" w:id="0">
    <w:p w14:paraId="5AE77614" w14:textId="77777777" w:rsidR="004544CA" w:rsidRDefault="0045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4564"/>
    <w:multiLevelType w:val="singleLevel"/>
    <w:tmpl w:val="3B9AF7FD"/>
    <w:lvl w:ilvl="0">
      <w:start w:val="1"/>
      <w:numFmt w:val="decimal"/>
      <w:lvlText w:val="%1."/>
      <w:lvlJc w:val="left"/>
      <w:pPr>
        <w:tabs>
          <w:tab w:val="num" w:pos="216"/>
        </w:tabs>
        <w:ind w:left="1152" w:hanging="288"/>
      </w:pPr>
      <w:rPr>
        <w:rFonts w:ascii="Arial" w:hAnsi="Arial" w:cs="Arial"/>
        <w:snapToGrid/>
        <w:spacing w:val="-3"/>
        <w:sz w:val="24"/>
        <w:szCs w:val="24"/>
      </w:rPr>
    </w:lvl>
  </w:abstractNum>
  <w:abstractNum w:abstractNumId="1" w15:restartNumberingAfterBreak="0">
    <w:nsid w:val="06593A9D"/>
    <w:multiLevelType w:val="singleLevel"/>
    <w:tmpl w:val="18BD7905"/>
    <w:lvl w:ilvl="0">
      <w:start w:val="1"/>
      <w:numFmt w:val="decimal"/>
      <w:lvlText w:val="%1."/>
      <w:lvlJc w:val="left"/>
      <w:pPr>
        <w:tabs>
          <w:tab w:val="num" w:pos="432"/>
        </w:tabs>
        <w:ind w:left="1224" w:hanging="432"/>
      </w:pPr>
      <w:rPr>
        <w:rFonts w:ascii="Arial" w:hAnsi="Arial" w:cs="Arial"/>
        <w:snapToGrid/>
        <w:spacing w:val="-3"/>
        <w:sz w:val="24"/>
        <w:szCs w:val="24"/>
      </w:rPr>
    </w:lvl>
  </w:abstractNum>
  <w:abstractNum w:abstractNumId="2" w15:restartNumberingAfterBreak="0">
    <w:nsid w:val="098C0273"/>
    <w:multiLevelType w:val="hybridMultilevel"/>
    <w:tmpl w:val="1784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C3388"/>
    <w:multiLevelType w:val="hybridMultilevel"/>
    <w:tmpl w:val="34B80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70AFE"/>
    <w:multiLevelType w:val="hybridMultilevel"/>
    <w:tmpl w:val="E1CCD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232E1C"/>
    <w:multiLevelType w:val="hybridMultilevel"/>
    <w:tmpl w:val="178463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97CB5"/>
    <w:multiLevelType w:val="hybridMultilevel"/>
    <w:tmpl w:val="14460B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091A15"/>
    <w:multiLevelType w:val="hybridMultilevel"/>
    <w:tmpl w:val="24B83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3C63E0"/>
    <w:multiLevelType w:val="hybridMultilevel"/>
    <w:tmpl w:val="9CE2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01259"/>
    <w:multiLevelType w:val="hybridMultilevel"/>
    <w:tmpl w:val="24B83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0664170">
    <w:abstractNumId w:val="1"/>
  </w:num>
  <w:num w:numId="2" w16cid:durableId="2082942842">
    <w:abstractNumId w:val="0"/>
  </w:num>
  <w:num w:numId="3" w16cid:durableId="1749301599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224" w:hanging="360"/>
        </w:pPr>
        <w:rPr>
          <w:rFonts w:ascii="Arial" w:hAnsi="Arial" w:cs="Arial"/>
          <w:snapToGrid/>
          <w:spacing w:val="-3"/>
          <w:sz w:val="24"/>
          <w:szCs w:val="24"/>
        </w:rPr>
      </w:lvl>
    </w:lvlOverride>
  </w:num>
  <w:num w:numId="4" w16cid:durableId="83192985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1152" w:hanging="288"/>
        </w:pPr>
        <w:rPr>
          <w:rFonts w:ascii="Arial" w:hAnsi="Arial" w:cs="Arial"/>
          <w:snapToGrid/>
          <w:spacing w:val="-5"/>
          <w:sz w:val="24"/>
          <w:szCs w:val="24"/>
        </w:rPr>
      </w:lvl>
    </w:lvlOverride>
  </w:num>
  <w:num w:numId="5" w16cid:durableId="95027466">
    <w:abstractNumId w:val="9"/>
  </w:num>
  <w:num w:numId="6" w16cid:durableId="1711684844">
    <w:abstractNumId w:val="3"/>
  </w:num>
  <w:num w:numId="7" w16cid:durableId="811018089">
    <w:abstractNumId w:val="6"/>
  </w:num>
  <w:num w:numId="8" w16cid:durableId="1347828540">
    <w:abstractNumId w:val="7"/>
  </w:num>
  <w:num w:numId="9" w16cid:durableId="36665846">
    <w:abstractNumId w:val="8"/>
  </w:num>
  <w:num w:numId="10" w16cid:durableId="1109400002">
    <w:abstractNumId w:val="4"/>
  </w:num>
  <w:num w:numId="11" w16cid:durableId="308023763">
    <w:abstractNumId w:val="2"/>
  </w:num>
  <w:num w:numId="12" w16cid:durableId="675228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1A"/>
    <w:rsid w:val="00011352"/>
    <w:rsid w:val="000E1E6C"/>
    <w:rsid w:val="0015021A"/>
    <w:rsid w:val="00161B8F"/>
    <w:rsid w:val="002037E9"/>
    <w:rsid w:val="003170EB"/>
    <w:rsid w:val="00395129"/>
    <w:rsid w:val="003E023D"/>
    <w:rsid w:val="00417064"/>
    <w:rsid w:val="004544CA"/>
    <w:rsid w:val="00464945"/>
    <w:rsid w:val="004C12B3"/>
    <w:rsid w:val="004D570B"/>
    <w:rsid w:val="0051453F"/>
    <w:rsid w:val="00516413"/>
    <w:rsid w:val="00603A33"/>
    <w:rsid w:val="0062415C"/>
    <w:rsid w:val="006308B4"/>
    <w:rsid w:val="006368DD"/>
    <w:rsid w:val="006A4325"/>
    <w:rsid w:val="00753421"/>
    <w:rsid w:val="008754AB"/>
    <w:rsid w:val="008833AD"/>
    <w:rsid w:val="00980390"/>
    <w:rsid w:val="00991A79"/>
    <w:rsid w:val="009E318B"/>
    <w:rsid w:val="00A253F8"/>
    <w:rsid w:val="00A73589"/>
    <w:rsid w:val="00AF6D8B"/>
    <w:rsid w:val="00B553C9"/>
    <w:rsid w:val="00BB2DA2"/>
    <w:rsid w:val="00BC488B"/>
    <w:rsid w:val="00BF76BD"/>
    <w:rsid w:val="00C22C60"/>
    <w:rsid w:val="00C54C0A"/>
    <w:rsid w:val="00CF4C55"/>
    <w:rsid w:val="00D95D17"/>
    <w:rsid w:val="00E008F7"/>
    <w:rsid w:val="00F45038"/>
    <w:rsid w:val="00FE2828"/>
    <w:rsid w:val="00FE49FF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9262"/>
  <w15:chartTrackingRefBased/>
  <w15:docId w15:val="{DD3DD127-6585-4955-9B77-B5650CE8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1A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53F"/>
    <w:pPr>
      <w:spacing w:line="276" w:lineRule="auto"/>
      <w:outlineLvl w:val="0"/>
    </w:pPr>
    <w:rPr>
      <w:rFonts w:ascii="Georgia" w:hAnsi="Georgia" w:cs="Arial"/>
      <w:b/>
      <w:bCs/>
      <w:spacing w:val="-8"/>
      <w:w w:val="10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3F"/>
    <w:pPr>
      <w:spacing w:after="24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42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1453F"/>
    <w:rPr>
      <w:rFonts w:ascii="Georgia" w:eastAsia="Times New Roman" w:hAnsi="Georgia" w:cs="Arial"/>
      <w:b/>
      <w:bCs/>
      <w:spacing w:val="-8"/>
      <w:w w:val="105"/>
      <w:sz w:val="28"/>
      <w:szCs w:val="28"/>
    </w:rPr>
  </w:style>
  <w:style w:type="paragraph" w:styleId="Revision">
    <w:name w:val="Revision"/>
    <w:hidden/>
    <w:uiPriority w:val="99"/>
    <w:semiHidden/>
    <w:rsid w:val="003E02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6710-7F89-41AA-A515-5ED5C0D6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Kolodziejski</dc:creator>
  <cp:keywords/>
  <cp:lastModifiedBy>Cynthia Isaacson</cp:lastModifiedBy>
  <cp:revision>2</cp:revision>
  <dcterms:created xsi:type="dcterms:W3CDTF">2024-02-01T20:34:00Z</dcterms:created>
  <dcterms:modified xsi:type="dcterms:W3CDTF">2024-02-01T20:34:00Z</dcterms:modified>
</cp:coreProperties>
</file>