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CAAA" w14:textId="77777777" w:rsidR="00FA067C" w:rsidRDefault="00FA067C" w:rsidP="005C36F7">
      <w:pPr>
        <w:jc w:val="center"/>
        <w:rPr>
          <w:rFonts w:ascii="Segoe UI" w:hAnsi="Segoe UI" w:cs="Segoe UI"/>
          <w:b/>
          <w:bCs/>
          <w:sz w:val="24"/>
          <w:szCs w:val="24"/>
        </w:rPr>
      </w:pPr>
    </w:p>
    <w:p w14:paraId="13501DEE" w14:textId="4F6B87C1" w:rsidR="00FA067C" w:rsidRDefault="00A24E99" w:rsidP="005C36F7">
      <w:pPr>
        <w:jc w:val="center"/>
        <w:rPr>
          <w:rFonts w:ascii="Segoe UI" w:hAnsi="Segoe UI" w:cs="Segoe UI"/>
          <w:b/>
          <w:bCs/>
          <w:sz w:val="24"/>
          <w:szCs w:val="24"/>
        </w:rPr>
      </w:pPr>
      <w:r>
        <w:rPr>
          <w:rFonts w:ascii="Segoe UI" w:hAnsi="Segoe UI" w:cs="Segoe UI"/>
          <w:b/>
          <w:bCs/>
          <w:noProof/>
          <w:sz w:val="24"/>
          <w:szCs w:val="24"/>
        </w:rPr>
        <w:drawing>
          <wp:inline distT="0" distB="0" distL="0" distR="0" wp14:anchorId="6B43D8E4" wp14:editId="5ACE706C">
            <wp:extent cx="2535382" cy="792306"/>
            <wp:effectExtent l="0" t="0" r="5080" b="0"/>
            <wp:docPr id="101788200" name="Picture 1" descr="A red and blue sta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88200" name="Picture 1" descr="A red and blue sta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1618" cy="816130"/>
                    </a:xfrm>
                    <a:prstGeom prst="rect">
                      <a:avLst/>
                    </a:prstGeom>
                  </pic:spPr>
                </pic:pic>
              </a:graphicData>
            </a:graphic>
          </wp:inline>
        </w:drawing>
      </w:r>
    </w:p>
    <w:p w14:paraId="1F4D1AEB" w14:textId="77777777" w:rsidR="00FA067C" w:rsidRDefault="00FA067C" w:rsidP="005C36F7">
      <w:pPr>
        <w:jc w:val="center"/>
        <w:rPr>
          <w:rFonts w:ascii="Segoe UI" w:hAnsi="Segoe UI" w:cs="Segoe UI"/>
          <w:b/>
          <w:bCs/>
          <w:sz w:val="24"/>
          <w:szCs w:val="24"/>
        </w:rPr>
      </w:pPr>
    </w:p>
    <w:p w14:paraId="1A428CB0" w14:textId="0398FDCC" w:rsidR="002729B8" w:rsidRPr="005C36F7" w:rsidRDefault="002729B8" w:rsidP="005C36F7">
      <w:pPr>
        <w:jc w:val="center"/>
        <w:rPr>
          <w:rFonts w:ascii="Segoe UI" w:hAnsi="Segoe UI" w:cs="Segoe UI"/>
          <w:b/>
          <w:bCs/>
          <w:sz w:val="24"/>
          <w:szCs w:val="24"/>
        </w:rPr>
      </w:pPr>
      <w:r w:rsidRPr="005C36F7">
        <w:rPr>
          <w:rFonts w:ascii="Segoe UI" w:hAnsi="Segoe UI" w:cs="Segoe UI"/>
          <w:b/>
          <w:bCs/>
          <w:sz w:val="24"/>
          <w:szCs w:val="24"/>
        </w:rPr>
        <w:t>2023 Review of Temporary Unclassified Laws, Policies and Contract Language</w:t>
      </w:r>
    </w:p>
    <w:p w14:paraId="061C04FF" w14:textId="77777777" w:rsidR="002729B8" w:rsidRPr="005C36F7" w:rsidRDefault="002729B8" w:rsidP="002729B8">
      <w:pPr>
        <w:rPr>
          <w:rFonts w:ascii="Segoe UI" w:hAnsi="Segoe UI" w:cs="Segoe UI"/>
        </w:rPr>
      </w:pPr>
    </w:p>
    <w:p w14:paraId="7BF861EE" w14:textId="77777777" w:rsidR="002729B8" w:rsidRPr="005C36F7" w:rsidRDefault="002729B8" w:rsidP="002729B8">
      <w:pPr>
        <w:pStyle w:val="ListParagraph"/>
        <w:numPr>
          <w:ilvl w:val="0"/>
          <w:numId w:val="1"/>
        </w:numPr>
        <w:rPr>
          <w:rFonts w:ascii="Segoe UI" w:hAnsi="Segoe UI" w:cs="Segoe UI"/>
          <w:b/>
          <w:bCs/>
        </w:rPr>
      </w:pPr>
      <w:r w:rsidRPr="005C36F7">
        <w:rPr>
          <w:rFonts w:ascii="Segoe UI" w:hAnsi="Segoe UI" w:cs="Segoe UI"/>
          <w:b/>
          <w:bCs/>
        </w:rPr>
        <w:t xml:space="preserve">What does it mean to be “Unclassified”? </w:t>
      </w:r>
      <w:r w:rsidRPr="005C36F7">
        <w:rPr>
          <w:rFonts w:ascii="Segoe UI" w:hAnsi="Segoe UI" w:cs="Segoe UI"/>
        </w:rPr>
        <w:t>Under Minnesota State law, the commissioner of Minnesota Management and Budget is required to “</w:t>
      </w:r>
      <w:hyperlink r:id="rId6" w:anchor="stat.43A.07.1" w:history="1">
        <w:r w:rsidRPr="005C36F7">
          <w:rPr>
            <w:rStyle w:val="Hyperlink"/>
            <w:rFonts w:ascii="Segoe UI" w:hAnsi="Segoe UI" w:cs="Segoe UI"/>
          </w:rPr>
          <w:t>maintain, revise and administer a classification plan</w:t>
        </w:r>
      </w:hyperlink>
      <w:r w:rsidRPr="005C36F7">
        <w:rPr>
          <w:rFonts w:ascii="Segoe UI" w:hAnsi="Segoe UI" w:cs="Segoe UI"/>
        </w:rPr>
        <w:t xml:space="preserve">” that aims to classify jobs in state service for the purposes of equitable compensation and bargaining unit determination. Unclassified positions are those positions not included in that classification system. State statute </w:t>
      </w:r>
      <w:hyperlink r:id="rId7" w:history="1">
        <w:r w:rsidRPr="005C36F7">
          <w:rPr>
            <w:rStyle w:val="Hyperlink"/>
            <w:rFonts w:ascii="Segoe UI" w:hAnsi="Segoe UI" w:cs="Segoe UI"/>
          </w:rPr>
          <w:t>43A.08</w:t>
        </w:r>
      </w:hyperlink>
      <w:r w:rsidRPr="005C36F7">
        <w:rPr>
          <w:rFonts w:ascii="Segoe UI" w:hAnsi="Segoe UI" w:cs="Segoe UI"/>
        </w:rPr>
        <w:t xml:space="preserve"> </w:t>
      </w:r>
      <w:proofErr w:type="gramStart"/>
      <w:r w:rsidRPr="005C36F7">
        <w:rPr>
          <w:rFonts w:ascii="Segoe UI" w:hAnsi="Segoe UI" w:cs="Segoe UI"/>
        </w:rPr>
        <w:t>lists</w:t>
      </w:r>
      <w:proofErr w:type="gramEnd"/>
      <w:r w:rsidRPr="005C36F7">
        <w:rPr>
          <w:rFonts w:ascii="Segoe UI" w:hAnsi="Segoe UI" w:cs="Segoe UI"/>
        </w:rPr>
        <w:t xml:space="preserve"> types of positions that are to be placed in the “unclassified service” upon allocation. For those who are in unclassified positions, it can be confusing, because although the position is designated as “unclassified,” in most cases there will still be a classification listed on the job posting and offer letter. This is because state law </w:t>
      </w:r>
      <w:hyperlink r:id="rId8" w:anchor="stat.43A.18.8" w:history="1">
        <w:r w:rsidRPr="005C36F7">
          <w:rPr>
            <w:rStyle w:val="Hyperlink"/>
            <w:rFonts w:ascii="Segoe UI" w:hAnsi="Segoe UI" w:cs="Segoe UI"/>
          </w:rPr>
          <w:t>requires</w:t>
        </w:r>
      </w:hyperlink>
      <w:r w:rsidRPr="005C36F7">
        <w:rPr>
          <w:rFonts w:ascii="Segoe UI" w:hAnsi="Segoe UI" w:cs="Segoe UI"/>
        </w:rPr>
        <w:t xml:space="preserve"> that “</w:t>
      </w:r>
      <w:r w:rsidRPr="005C36F7">
        <w:rPr>
          <w:rFonts w:ascii="Segoe UI" w:hAnsi="Segoe UI" w:cs="Segoe UI"/>
          <w:color w:val="000000"/>
          <w:shd w:val="clear" w:color="auto" w:fill="FFFFFF"/>
        </w:rPr>
        <w:t>compensation for positions in the classified and the unclassified service compare reasonably to one another.”  The way this is functionally accomplished is by assigning a comparative classification for the unclassified position.</w:t>
      </w:r>
    </w:p>
    <w:p w14:paraId="1E8EB5E5" w14:textId="77777777" w:rsidR="005C36F7" w:rsidRPr="005C36F7" w:rsidRDefault="005C36F7" w:rsidP="005C36F7">
      <w:pPr>
        <w:pStyle w:val="ListParagraph"/>
        <w:rPr>
          <w:rFonts w:ascii="Segoe UI" w:hAnsi="Segoe UI" w:cs="Segoe UI"/>
          <w:b/>
          <w:bCs/>
        </w:rPr>
      </w:pPr>
    </w:p>
    <w:p w14:paraId="22E7A37E" w14:textId="77777777" w:rsidR="006B7A5C" w:rsidRPr="005C36F7" w:rsidRDefault="002729B8" w:rsidP="00C92452">
      <w:pPr>
        <w:pStyle w:val="ListParagraph"/>
        <w:numPr>
          <w:ilvl w:val="0"/>
          <w:numId w:val="1"/>
        </w:numPr>
        <w:rPr>
          <w:rFonts w:ascii="Segoe UI" w:hAnsi="Segoe UI" w:cs="Segoe UI"/>
          <w:b/>
        </w:rPr>
      </w:pPr>
      <w:r w:rsidRPr="005C36F7">
        <w:rPr>
          <w:rFonts w:ascii="Segoe UI" w:hAnsi="Segoe UI" w:cs="Segoe UI"/>
          <w:b/>
          <w:bCs/>
        </w:rPr>
        <w:t xml:space="preserve">What is Temporary Unclassified, </w:t>
      </w:r>
      <w:r w:rsidR="0051132A" w:rsidRPr="005C36F7">
        <w:rPr>
          <w:rFonts w:ascii="Segoe UI" w:hAnsi="Segoe UI" w:cs="Segoe UI"/>
          <w:b/>
          <w:bCs/>
        </w:rPr>
        <w:t>s</w:t>
      </w:r>
      <w:r w:rsidRPr="005C36F7">
        <w:rPr>
          <w:rFonts w:ascii="Segoe UI" w:hAnsi="Segoe UI" w:cs="Segoe UI"/>
          <w:b/>
          <w:bCs/>
        </w:rPr>
        <w:t>pecifically?</w:t>
      </w:r>
      <w:r w:rsidRPr="005C36F7">
        <w:rPr>
          <w:rFonts w:ascii="Segoe UI" w:hAnsi="Segoe UI" w:cs="Segoe UI"/>
        </w:rPr>
        <w:t xml:space="preserve"> </w:t>
      </w:r>
      <w:hyperlink r:id="rId9" w:anchor="stat.43A.08.2a" w:history="1">
        <w:r w:rsidRPr="005C36F7">
          <w:rPr>
            <w:rStyle w:val="Hyperlink"/>
            <w:rFonts w:ascii="Segoe UI" w:hAnsi="Segoe UI" w:cs="Segoe UI"/>
          </w:rPr>
          <w:t xml:space="preserve">43A.08 </w:t>
        </w:r>
        <w:proofErr w:type="spellStart"/>
        <w:r w:rsidRPr="005C36F7">
          <w:rPr>
            <w:rStyle w:val="Hyperlink"/>
            <w:rFonts w:ascii="Segoe UI" w:hAnsi="Segoe UI" w:cs="Segoe UI"/>
          </w:rPr>
          <w:t>Subd</w:t>
        </w:r>
        <w:proofErr w:type="spellEnd"/>
        <w:r w:rsidRPr="005C36F7">
          <w:rPr>
            <w:rStyle w:val="Hyperlink"/>
            <w:rFonts w:ascii="Segoe UI" w:hAnsi="Segoe UI" w:cs="Segoe UI"/>
          </w:rPr>
          <w:t>. 2a.</w:t>
        </w:r>
      </w:hyperlink>
      <w:r w:rsidRPr="005C36F7">
        <w:rPr>
          <w:rFonts w:ascii="Segoe UI" w:hAnsi="Segoe UI" w:cs="Segoe UI"/>
        </w:rPr>
        <w:t xml:space="preserve"> creates the broadest authority for MMB to designate positions in the unclassified service.  The clause reads: “</w:t>
      </w:r>
      <w:r w:rsidRPr="005C36F7">
        <w:rPr>
          <w:rFonts w:ascii="Segoe UI" w:hAnsi="Segoe UI" w:cs="Segoe UI"/>
          <w:b/>
          <w:bCs/>
          <w:i/>
          <w:iCs/>
        </w:rPr>
        <w:t xml:space="preserve">Temporary unclassified positions. </w:t>
      </w:r>
      <w:r w:rsidRPr="005C36F7">
        <w:rPr>
          <w:rFonts w:ascii="Segoe UI" w:hAnsi="Segoe UI" w:cs="Segoe UI"/>
          <w:i/>
          <w:iCs/>
          <w:color w:val="000000"/>
          <w:shd w:val="clear" w:color="auto" w:fill="FFFFFF"/>
        </w:rPr>
        <w:t xml:space="preserve">The commissioner, upon request of an appointing authority, may authorize the temporary designation of a position in the unclassified service. The commissioner may make this authorization only for professional, </w:t>
      </w:r>
      <w:proofErr w:type="gramStart"/>
      <w:r w:rsidRPr="005C36F7">
        <w:rPr>
          <w:rFonts w:ascii="Segoe UI" w:hAnsi="Segoe UI" w:cs="Segoe UI"/>
          <w:i/>
          <w:iCs/>
          <w:color w:val="000000"/>
          <w:shd w:val="clear" w:color="auto" w:fill="FFFFFF"/>
        </w:rPr>
        <w:t>managerial</w:t>
      </w:r>
      <w:proofErr w:type="gramEnd"/>
      <w:r w:rsidRPr="005C36F7">
        <w:rPr>
          <w:rFonts w:ascii="Segoe UI" w:hAnsi="Segoe UI" w:cs="Segoe UI"/>
          <w:i/>
          <w:iCs/>
          <w:color w:val="000000"/>
          <w:shd w:val="clear" w:color="auto" w:fill="FFFFFF"/>
        </w:rPr>
        <w:t xml:space="preserve"> or supervisory positions which are fully anticipated to be of limited duration</w:t>
      </w:r>
      <w:r w:rsidRPr="005C36F7">
        <w:rPr>
          <w:rFonts w:ascii="Segoe UI" w:hAnsi="Segoe UI" w:cs="Segoe UI"/>
        </w:rPr>
        <w:t xml:space="preserve">.” An </w:t>
      </w:r>
      <w:hyperlink r:id="rId10" w:history="1">
        <w:r w:rsidRPr="005C36F7">
          <w:rPr>
            <w:rStyle w:val="Hyperlink"/>
            <w:rFonts w:ascii="Segoe UI" w:hAnsi="Segoe UI" w:cs="Segoe UI"/>
          </w:rPr>
          <w:t>administrative rule</w:t>
        </w:r>
      </w:hyperlink>
      <w:r w:rsidRPr="005C36F7">
        <w:rPr>
          <w:rFonts w:ascii="Segoe UI" w:hAnsi="Segoe UI" w:cs="Segoe UI"/>
        </w:rPr>
        <w:t xml:space="preserve"> clarifies that “limited” duration means a designated TUNC position cannot last longer than three years. In practice, this means that a person is usually appointed to a TUNC position for either a one</w:t>
      </w:r>
      <w:r w:rsidR="00C92452" w:rsidRPr="005C36F7">
        <w:rPr>
          <w:rFonts w:ascii="Segoe UI" w:hAnsi="Segoe UI" w:cs="Segoe UI"/>
        </w:rPr>
        <w:t>-</w:t>
      </w:r>
      <w:r w:rsidRPr="005C36F7">
        <w:rPr>
          <w:rFonts w:ascii="Segoe UI" w:hAnsi="Segoe UI" w:cs="Segoe UI"/>
        </w:rPr>
        <w:t xml:space="preserve"> or two</w:t>
      </w:r>
      <w:r w:rsidR="00C92452" w:rsidRPr="005C36F7">
        <w:rPr>
          <w:rFonts w:ascii="Segoe UI" w:hAnsi="Segoe UI" w:cs="Segoe UI"/>
        </w:rPr>
        <w:t>-</w:t>
      </w:r>
      <w:r w:rsidRPr="005C36F7">
        <w:rPr>
          <w:rFonts w:ascii="Segoe UI" w:hAnsi="Segoe UI" w:cs="Segoe UI"/>
        </w:rPr>
        <w:t xml:space="preserve">year appointment, with the option to extend the position through a third year. </w:t>
      </w:r>
      <w:hyperlink r:id="rId11" w:history="1">
        <w:r w:rsidRPr="005C36F7">
          <w:rPr>
            <w:rStyle w:val="Hyperlink"/>
            <w:rFonts w:ascii="Segoe UI" w:hAnsi="Segoe UI" w:cs="Segoe UI"/>
          </w:rPr>
          <w:t>Administrative Procedure 8</w:t>
        </w:r>
      </w:hyperlink>
      <w:r w:rsidRPr="005C36F7">
        <w:rPr>
          <w:rFonts w:ascii="Segoe UI" w:hAnsi="Segoe UI" w:cs="Segoe UI"/>
        </w:rPr>
        <w:t xml:space="preserve"> then further defines the process for the designation of TUNC positions, including the requirement that agencies require “justification for placement in the unclassified service in terms of the statutory criteria” when requesting a position. </w:t>
      </w:r>
      <w:hyperlink r:id="rId12" w:anchor="stat.43A.15.7" w:history="1">
        <w:r w:rsidRPr="005C36F7">
          <w:rPr>
            <w:rStyle w:val="Hyperlink"/>
            <w:rFonts w:ascii="Segoe UI" w:hAnsi="Segoe UI" w:cs="Segoe UI"/>
          </w:rPr>
          <w:t>Another statute</w:t>
        </w:r>
      </w:hyperlink>
      <w:r w:rsidRPr="005C36F7">
        <w:rPr>
          <w:rFonts w:ascii="Segoe UI" w:hAnsi="Segoe UI" w:cs="Segoe UI"/>
        </w:rPr>
        <w:t xml:space="preserve"> allows MMB, under certain circumstances, to convert a TUNC employee to a probationary, classified position in the </w:t>
      </w:r>
      <w:r w:rsidR="0051132A" w:rsidRPr="005C36F7">
        <w:rPr>
          <w:rFonts w:ascii="Segoe UI" w:hAnsi="Segoe UI" w:cs="Segoe UI"/>
        </w:rPr>
        <w:t>equivalent</w:t>
      </w:r>
      <w:r w:rsidRPr="005C36F7">
        <w:rPr>
          <w:rFonts w:ascii="Segoe UI" w:hAnsi="Segoe UI" w:cs="Segoe UI"/>
        </w:rPr>
        <w:t xml:space="preserve"> class. </w:t>
      </w:r>
    </w:p>
    <w:p w14:paraId="5E1219AA" w14:textId="77777777" w:rsidR="005C36F7" w:rsidRPr="005C36F7" w:rsidRDefault="005C36F7" w:rsidP="005C36F7">
      <w:pPr>
        <w:pStyle w:val="ListParagraph"/>
        <w:rPr>
          <w:rFonts w:ascii="Segoe UI" w:hAnsi="Segoe UI" w:cs="Segoe UI"/>
          <w:b/>
        </w:rPr>
      </w:pPr>
    </w:p>
    <w:p w14:paraId="084D03CC" w14:textId="2A9A215D" w:rsidR="005C36F7" w:rsidRPr="005C36F7" w:rsidRDefault="006B7A5C" w:rsidP="005C36F7">
      <w:pPr>
        <w:pStyle w:val="ListParagraph"/>
        <w:numPr>
          <w:ilvl w:val="0"/>
          <w:numId w:val="1"/>
        </w:numPr>
        <w:rPr>
          <w:rFonts w:ascii="Segoe UI" w:hAnsi="Segoe UI" w:cs="Segoe UI"/>
          <w:b/>
        </w:rPr>
      </w:pPr>
      <w:r w:rsidRPr="005C36F7">
        <w:rPr>
          <w:rFonts w:ascii="Segoe UI" w:hAnsi="Segoe UI" w:cs="Segoe UI"/>
          <w:b/>
          <w:bCs/>
        </w:rPr>
        <w:t>Leave for An Unclassified Position:</w:t>
      </w:r>
      <w:r w:rsidRPr="005C36F7">
        <w:rPr>
          <w:rFonts w:ascii="Segoe UI" w:hAnsi="Segoe UI" w:cs="Segoe UI"/>
        </w:rPr>
        <w:t xml:space="preserve"> A classified employee </w:t>
      </w:r>
      <w:r w:rsidR="004A1F18" w:rsidRPr="005C36F7">
        <w:rPr>
          <w:rFonts w:ascii="Segoe UI" w:hAnsi="Segoe UI" w:cs="Segoe UI"/>
        </w:rPr>
        <w:t>can request a leave of absence from their classified position to take an unclassified position. Granting of this request, however, is entirely at management’s discretion.</w:t>
      </w:r>
    </w:p>
    <w:p w14:paraId="0CCF506C" w14:textId="77777777" w:rsidR="005C36F7" w:rsidRPr="005C36F7" w:rsidRDefault="005C36F7" w:rsidP="005C36F7">
      <w:pPr>
        <w:pStyle w:val="ListParagraph"/>
        <w:rPr>
          <w:rFonts w:ascii="Segoe UI" w:hAnsi="Segoe UI" w:cs="Segoe UI"/>
          <w:b/>
        </w:rPr>
      </w:pPr>
    </w:p>
    <w:p w14:paraId="4E3BE9A3" w14:textId="77777777" w:rsidR="002729B8" w:rsidRPr="005C36F7" w:rsidRDefault="002729B8" w:rsidP="002729B8">
      <w:pPr>
        <w:pStyle w:val="ListParagraph"/>
        <w:numPr>
          <w:ilvl w:val="0"/>
          <w:numId w:val="1"/>
        </w:numPr>
        <w:rPr>
          <w:rFonts w:ascii="Segoe UI" w:hAnsi="Segoe UI" w:cs="Segoe UI"/>
          <w:b/>
        </w:rPr>
      </w:pPr>
      <w:r w:rsidRPr="005C36F7">
        <w:rPr>
          <w:rFonts w:ascii="Segoe UI" w:hAnsi="Segoe UI" w:cs="Segoe UI"/>
          <w:b/>
        </w:rPr>
        <w:t xml:space="preserve">Differences in rights and contract language between permanent classified and TUNC: </w:t>
      </w:r>
      <w:r w:rsidRPr="005C36F7">
        <w:rPr>
          <w:rFonts w:ascii="Segoe UI" w:hAnsi="Segoe UI" w:cs="Segoe UI"/>
          <w:bCs/>
        </w:rPr>
        <w:t>There are numerous differences in rights and benefits for TUNC employees compared to unlimited unclassified. Those differences are:</w:t>
      </w:r>
    </w:p>
    <w:p w14:paraId="6B7EF1AC"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Hard end date: </w:t>
      </w:r>
      <w:r w:rsidRPr="005C36F7">
        <w:rPr>
          <w:rFonts w:ascii="Segoe UI" w:hAnsi="Segoe UI" w:cs="Segoe UI"/>
          <w:bCs/>
        </w:rPr>
        <w:t xml:space="preserve">TUNC positions cannot go beyond three years in length.  At the end of three years, a TUNC employee can either be converted to a permanent classified position (if they meet </w:t>
      </w:r>
      <w:r w:rsidRPr="005C36F7">
        <w:rPr>
          <w:rFonts w:ascii="Segoe UI" w:hAnsi="Segoe UI" w:cs="Segoe UI"/>
          <w:bCs/>
        </w:rPr>
        <w:lastRenderedPageBreak/>
        <w:t xml:space="preserve">the </w:t>
      </w:r>
      <w:hyperlink r:id="rId13" w:anchor="stat.43A.15.7" w:history="1">
        <w:r w:rsidRPr="005C36F7">
          <w:rPr>
            <w:rStyle w:val="Hyperlink"/>
            <w:rFonts w:ascii="Segoe UI" w:hAnsi="Segoe UI" w:cs="Segoe UI"/>
            <w:bCs/>
          </w:rPr>
          <w:t>statutory requirements</w:t>
        </w:r>
      </w:hyperlink>
      <w:r w:rsidRPr="005C36F7">
        <w:rPr>
          <w:rFonts w:ascii="Segoe UI" w:hAnsi="Segoe UI" w:cs="Segoe UI"/>
          <w:bCs/>
        </w:rPr>
        <w:t>), the agency requests it and MMB signs off.  Otherwise, the position ends.  An employee may end up applying for a permanent position, or another TUNC position.</w:t>
      </w:r>
    </w:p>
    <w:p w14:paraId="000A3D10" w14:textId="77777777" w:rsidR="002729B8" w:rsidRPr="005C36F7" w:rsidRDefault="002729B8" w:rsidP="002729B8">
      <w:pPr>
        <w:pStyle w:val="ListParagraph"/>
        <w:numPr>
          <w:ilvl w:val="1"/>
          <w:numId w:val="1"/>
        </w:numPr>
        <w:rPr>
          <w:rFonts w:ascii="Segoe UI" w:hAnsi="Segoe UI" w:cs="Segoe UI"/>
          <w:b/>
        </w:rPr>
      </w:pPr>
      <w:commentRangeStart w:id="0"/>
      <w:commentRangeStart w:id="1"/>
      <w:r w:rsidRPr="005C36F7">
        <w:rPr>
          <w:rFonts w:ascii="Segoe UI" w:hAnsi="Segoe UI" w:cs="Segoe UI"/>
          <w:b/>
        </w:rPr>
        <w:t>Appointment</w:t>
      </w:r>
      <w:commentRangeEnd w:id="0"/>
      <w:r w:rsidRPr="005C36F7">
        <w:rPr>
          <w:rStyle w:val="CommentReference"/>
          <w:rFonts w:ascii="Segoe UI" w:hAnsi="Segoe UI" w:cs="Segoe UI"/>
        </w:rPr>
        <w:commentReference w:id="0"/>
      </w:r>
      <w:commentRangeEnd w:id="1"/>
      <w:r w:rsidRPr="005C36F7">
        <w:rPr>
          <w:rStyle w:val="CommentReference"/>
          <w:rFonts w:ascii="Segoe UI" w:hAnsi="Segoe UI" w:cs="Segoe UI"/>
        </w:rPr>
        <w:commentReference w:id="1"/>
      </w:r>
      <w:r w:rsidRPr="005C36F7">
        <w:rPr>
          <w:rFonts w:ascii="Segoe UI" w:hAnsi="Segoe UI" w:cs="Segoe UI"/>
          <w:b/>
        </w:rPr>
        <w:t xml:space="preserve"> endings: </w:t>
      </w:r>
      <w:r w:rsidRPr="005C36F7">
        <w:rPr>
          <w:rFonts w:ascii="Segoe UI" w:hAnsi="Segoe UI" w:cs="Segoe UI"/>
          <w:bCs/>
        </w:rPr>
        <w:t>Permanent, classified appointments can only be ended 1) in the case of a layoff, or 2) discharge for cause.  A TUNC appointment can be ended at any time without cause, and in some cases without notice.</w:t>
      </w:r>
    </w:p>
    <w:p w14:paraId="23D53FBE"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Layoff and notice rights: </w:t>
      </w:r>
      <w:r w:rsidRPr="005C36F7">
        <w:rPr>
          <w:rFonts w:ascii="Segoe UI" w:hAnsi="Segoe UI" w:cs="Segoe UI"/>
          <w:bCs/>
        </w:rPr>
        <w:t xml:space="preserve">The provisions of Article 17, Layoff and Recall, explicitly do not apply to unclassified employees (Article 15, section 5, page 48). We have recently bargained </w:t>
      </w:r>
      <w:proofErr w:type="gramStart"/>
      <w:r w:rsidRPr="005C36F7">
        <w:rPr>
          <w:rFonts w:ascii="Segoe UI" w:hAnsi="Segoe UI" w:cs="Segoe UI"/>
          <w:bCs/>
        </w:rPr>
        <w:t>21 day</w:t>
      </w:r>
      <w:proofErr w:type="gramEnd"/>
      <w:r w:rsidRPr="005C36F7">
        <w:rPr>
          <w:rFonts w:ascii="Segoe UI" w:hAnsi="Segoe UI" w:cs="Segoe UI"/>
          <w:bCs/>
        </w:rPr>
        <w:t xml:space="preserve"> notice for the ending of appointments “when practicable” for TUNC employees (Article 8, Section 6, p.10).</w:t>
      </w:r>
    </w:p>
    <w:p w14:paraId="46FB26F4"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Just Cause: </w:t>
      </w:r>
      <w:r w:rsidRPr="005C36F7">
        <w:rPr>
          <w:rFonts w:ascii="Segoe UI" w:hAnsi="Segoe UI" w:cs="Segoe UI"/>
          <w:bCs/>
        </w:rPr>
        <w:t xml:space="preserve">Although TUNC employees are technically afforded just cause, discharges of TUNC employees are not arbitrable (Article 8, Section 6, p.10), which removes the incentive for the employer to follow the tenets of just cause.  As a result, there is functionally no protection for employees being terminated, other than applicable discrimination protection laws. MAPE has attempted to bargain this but has been unsuccessful so far. </w:t>
      </w:r>
    </w:p>
    <w:p w14:paraId="2C123855"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Severance: </w:t>
      </w:r>
      <w:r w:rsidRPr="005C36F7">
        <w:rPr>
          <w:rFonts w:ascii="Segoe UI" w:hAnsi="Segoe UI" w:cs="Segoe UI"/>
          <w:bCs/>
        </w:rPr>
        <w:t xml:space="preserve">Because TUNC employees are not eligible for layoff, they are not eligible for severance in the case of layoff (Article 13, Section 1, p.13). </w:t>
      </w:r>
    </w:p>
    <w:p w14:paraId="5207D89D"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Vacation eligibility: </w:t>
      </w:r>
      <w:r w:rsidRPr="005C36F7">
        <w:rPr>
          <w:rFonts w:ascii="Segoe UI" w:hAnsi="Segoe UI" w:cs="Segoe UI"/>
          <w:bCs/>
        </w:rPr>
        <w:t xml:space="preserve">A TUNC employee must be appointed for a period longer than six months to be eligible for vacation accrual (Article 10, Section 1.A, p.16). </w:t>
      </w:r>
    </w:p>
    <w:p w14:paraId="120DE0AB"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Holiday pay eligibility: </w:t>
      </w:r>
      <w:r w:rsidRPr="005C36F7">
        <w:rPr>
          <w:rFonts w:ascii="Segoe UI" w:hAnsi="Segoe UI" w:cs="Segoe UI"/>
          <w:bCs/>
        </w:rPr>
        <w:t>A TUNC employee must be appointed for a period longer than six months to be eligible for vacation accrual (Article 11, Section 1, p. 20).</w:t>
      </w:r>
    </w:p>
    <w:p w14:paraId="3970CD99"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Sick leave eligibility: </w:t>
      </w:r>
      <w:r w:rsidRPr="005C36F7">
        <w:rPr>
          <w:rFonts w:ascii="Segoe UI" w:hAnsi="Segoe UI" w:cs="Segoe UI"/>
          <w:bCs/>
        </w:rPr>
        <w:t>A TUNC employee must be appointed for a period longer than six months to be eligible for vacation accrual (Article 12, Section 1, p. 22).</w:t>
      </w:r>
    </w:p>
    <w:p w14:paraId="378C3961" w14:textId="5202F11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Medical leave: </w:t>
      </w:r>
      <w:r w:rsidRPr="005C36F7">
        <w:rPr>
          <w:rFonts w:ascii="Segoe UI" w:hAnsi="Segoe UI" w:cs="Segoe UI"/>
          <w:bCs/>
        </w:rPr>
        <w:t xml:space="preserve">Permanent employees have the right to up to one year of unpaid medical leave upon exhaustion of their sick leave (Article 14, Section 3.F, p. 30). TUNC employees do not have access to this leave, but in the current TA, MAPE has bargained a discretionary </w:t>
      </w:r>
      <w:proofErr w:type="gramStart"/>
      <w:r w:rsidRPr="005C36F7">
        <w:rPr>
          <w:rFonts w:ascii="Segoe UI" w:hAnsi="Segoe UI" w:cs="Segoe UI"/>
          <w:bCs/>
        </w:rPr>
        <w:t>six month</w:t>
      </w:r>
      <w:proofErr w:type="gramEnd"/>
      <w:r w:rsidRPr="005C36F7">
        <w:rPr>
          <w:rFonts w:ascii="Segoe UI" w:hAnsi="Segoe UI" w:cs="Segoe UI"/>
          <w:bCs/>
        </w:rPr>
        <w:t xml:space="preserve"> </w:t>
      </w:r>
      <w:r w:rsidR="00827602" w:rsidRPr="005C36F7">
        <w:rPr>
          <w:rFonts w:ascii="Segoe UI" w:hAnsi="Segoe UI" w:cs="Segoe UI"/>
          <w:bCs/>
        </w:rPr>
        <w:t>un</w:t>
      </w:r>
      <w:r w:rsidRPr="005C36F7">
        <w:rPr>
          <w:rFonts w:ascii="Segoe UI" w:hAnsi="Segoe UI" w:cs="Segoe UI"/>
          <w:bCs/>
        </w:rPr>
        <w:t>paid leave for TUNC employees</w:t>
      </w:r>
      <w:r w:rsidR="00827602" w:rsidRPr="005C36F7">
        <w:rPr>
          <w:rFonts w:ascii="Segoe UI" w:hAnsi="Segoe UI" w:cs="Segoe UI"/>
          <w:bCs/>
        </w:rPr>
        <w:t xml:space="preserve"> (separate from sick leave)</w:t>
      </w:r>
      <w:r w:rsidRPr="005C36F7">
        <w:rPr>
          <w:rFonts w:ascii="Segoe UI" w:hAnsi="Segoe UI" w:cs="Segoe UI"/>
          <w:bCs/>
        </w:rPr>
        <w:t>.</w:t>
      </w:r>
    </w:p>
    <w:p w14:paraId="19820D11"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Discretionary leave upon early ending: </w:t>
      </w:r>
      <w:r w:rsidRPr="005C36F7">
        <w:rPr>
          <w:rFonts w:ascii="Segoe UI" w:hAnsi="Segoe UI" w:cs="Segoe UI"/>
          <w:bCs/>
        </w:rPr>
        <w:t>TUNC employees sometimes have their appointments end without warning.  In the current TA, MAPE bargained the language “</w:t>
      </w:r>
      <w:r w:rsidRPr="005C36F7">
        <w:rPr>
          <w:rStyle w:val="normaltextrun"/>
          <w:rFonts w:ascii="Segoe UI" w:hAnsi="Segoe UI" w:cs="Segoe UI"/>
          <w:shd w:val="clear" w:color="auto" w:fill="FFFFFF"/>
        </w:rPr>
        <w:t xml:space="preserve">an employee on notice that their unclassified appointment will end before the scheduled end date may continue in payroll </w:t>
      </w:r>
      <w:r w:rsidRPr="005C36F7">
        <w:rPr>
          <w:rStyle w:val="findhit"/>
          <w:rFonts w:ascii="Segoe UI" w:hAnsi="Segoe UI" w:cs="Segoe UI"/>
        </w:rPr>
        <w:t>status</w:t>
      </w:r>
      <w:r w:rsidRPr="005C36F7">
        <w:rPr>
          <w:rStyle w:val="normaltextrun"/>
          <w:rFonts w:ascii="Segoe UI" w:hAnsi="Segoe UI" w:cs="Segoe UI"/>
          <w:shd w:val="clear" w:color="auto" w:fill="FFFFFF"/>
        </w:rPr>
        <w:t xml:space="preserve"> for forty (40) hours of paid leave.” This discretionary leave will be an option if the TA is ratified.  The section will be in Article 8.</w:t>
      </w:r>
    </w:p>
    <w:p w14:paraId="2D3BFBF3"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Premium coverage upon layoff: </w:t>
      </w:r>
      <w:r w:rsidRPr="005C36F7">
        <w:rPr>
          <w:rFonts w:ascii="Segoe UI" w:hAnsi="Segoe UI" w:cs="Segoe UI"/>
          <w:bCs/>
        </w:rPr>
        <w:t xml:space="preserve">Classified employees who are laid off with at least three years of continuous service remain eligible for the employer contribution to healthcare premiums for six months after layoff.  TUNC employees are not eligible for this benefit, even if they’ve been continuously employed for 3 years. MAPE has attempted to bargain over </w:t>
      </w:r>
      <w:proofErr w:type="gramStart"/>
      <w:r w:rsidRPr="005C36F7">
        <w:rPr>
          <w:rFonts w:ascii="Segoe UI" w:hAnsi="Segoe UI" w:cs="Segoe UI"/>
          <w:bCs/>
        </w:rPr>
        <w:t>this, but</w:t>
      </w:r>
      <w:proofErr w:type="gramEnd"/>
      <w:r w:rsidRPr="005C36F7">
        <w:rPr>
          <w:rFonts w:ascii="Segoe UI" w:hAnsi="Segoe UI" w:cs="Segoe UI"/>
          <w:bCs/>
        </w:rPr>
        <w:t xml:space="preserve"> has not secured and language. </w:t>
      </w:r>
    </w:p>
    <w:p w14:paraId="713D6AA6" w14:textId="77777777" w:rsidR="002729B8" w:rsidRPr="005C36F7" w:rsidRDefault="002729B8" w:rsidP="002729B8">
      <w:pPr>
        <w:pStyle w:val="ListParagraph"/>
        <w:numPr>
          <w:ilvl w:val="1"/>
          <w:numId w:val="1"/>
        </w:numPr>
        <w:rPr>
          <w:rFonts w:ascii="Segoe UI" w:hAnsi="Segoe UI" w:cs="Segoe UI"/>
          <w:b/>
        </w:rPr>
      </w:pPr>
      <w:r w:rsidRPr="005C36F7">
        <w:rPr>
          <w:rFonts w:ascii="Segoe UI" w:hAnsi="Segoe UI" w:cs="Segoe UI"/>
          <w:b/>
        </w:rPr>
        <w:t xml:space="preserve">Probationary Periods: </w:t>
      </w:r>
      <w:r w:rsidRPr="005C36F7">
        <w:rPr>
          <w:rFonts w:ascii="Segoe UI" w:hAnsi="Segoe UI" w:cs="Segoe UI"/>
          <w:bCs/>
        </w:rPr>
        <w:t xml:space="preserve">TUNC staff, upon conversion to a permanent position, must serve a probationary period, even if they spent three full years in the job in the TUNC appointment.  MAPE has bargained a shorted probationary period in that instance, of three months, rather than the standard six months for a regular appointment. </w:t>
      </w:r>
    </w:p>
    <w:sectPr w:rsidR="002729B8" w:rsidRPr="005C36F7" w:rsidSect="00FA067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 Marincel" w:date="2023-08-15T15:15:00Z" w:initials="PM">
    <w:p w14:paraId="634DC586" w14:textId="77777777" w:rsidR="002729B8" w:rsidRDefault="002729B8" w:rsidP="002729B8">
      <w:pPr>
        <w:pStyle w:val="CommentText"/>
      </w:pPr>
      <w:r>
        <w:rPr>
          <w:rStyle w:val="CommentReference"/>
        </w:rPr>
        <w:annotationRef/>
      </w:r>
      <w:r>
        <w:t xml:space="preserve">Where does mmb draw the authority from to end appointments at any time?  </w:t>
      </w:r>
    </w:p>
  </w:comment>
  <w:comment w:id="1" w:author="Pete Marincel" w:date="2023-08-16T10:35:00Z" w:initials="PM">
    <w:p w14:paraId="399F983F" w14:textId="77777777" w:rsidR="002729B8" w:rsidRDefault="002729B8" w:rsidP="002729B8">
      <w:pPr>
        <w:pStyle w:val="CommentText"/>
      </w:pPr>
      <w:r>
        <w:rPr>
          <w:rStyle w:val="CommentReference"/>
        </w:rPr>
        <w:annotationRef/>
      </w:r>
      <w:r>
        <w:t>Is it simply the combination of Article 17 not applying, and arbitration for termination not applying? Or is that authority named somewhere?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4DC586" w15:done="1"/>
  <w15:commentEx w15:paraId="399F983F" w15:paraIdParent="634DC58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61521" w16cex:dateUtc="2023-08-15T20:15:00Z"/>
  <w16cex:commentExtensible w16cex:durableId="28872505" w16cex:dateUtc="2023-08-16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4DC586" w16cid:durableId="28861521"/>
  <w16cid:commentId w16cid:paraId="399F983F" w16cid:durableId="288725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A284C"/>
    <w:multiLevelType w:val="hybridMultilevel"/>
    <w:tmpl w:val="A306B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5789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 Marincel">
    <w15:presenceInfo w15:providerId="AD" w15:userId="S::pmarincel@mape.org::7081d3cc-4d61-42fd-b664-bc3a4df1b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2E"/>
    <w:rsid w:val="001C03FA"/>
    <w:rsid w:val="002729B8"/>
    <w:rsid w:val="004A1F18"/>
    <w:rsid w:val="0051132A"/>
    <w:rsid w:val="005C36F7"/>
    <w:rsid w:val="006B7A5C"/>
    <w:rsid w:val="00734F89"/>
    <w:rsid w:val="00827602"/>
    <w:rsid w:val="008B5976"/>
    <w:rsid w:val="009F532E"/>
    <w:rsid w:val="00A24E99"/>
    <w:rsid w:val="00A50BA2"/>
    <w:rsid w:val="00C92452"/>
    <w:rsid w:val="00FA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A08B"/>
  <w15:chartTrackingRefBased/>
  <w15:docId w15:val="{A883E09D-9FE5-4161-81FA-5589C811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B8"/>
    <w:pPr>
      <w:ind w:left="720"/>
      <w:contextualSpacing/>
    </w:pPr>
  </w:style>
  <w:style w:type="character" w:styleId="Hyperlink">
    <w:name w:val="Hyperlink"/>
    <w:basedOn w:val="DefaultParagraphFont"/>
    <w:uiPriority w:val="99"/>
    <w:unhideWhenUsed/>
    <w:rsid w:val="002729B8"/>
    <w:rPr>
      <w:color w:val="0563C1" w:themeColor="hyperlink"/>
      <w:u w:val="single"/>
    </w:rPr>
  </w:style>
  <w:style w:type="character" w:styleId="CommentReference">
    <w:name w:val="annotation reference"/>
    <w:basedOn w:val="DefaultParagraphFont"/>
    <w:uiPriority w:val="99"/>
    <w:semiHidden/>
    <w:unhideWhenUsed/>
    <w:rsid w:val="002729B8"/>
    <w:rPr>
      <w:sz w:val="16"/>
      <w:szCs w:val="16"/>
    </w:rPr>
  </w:style>
  <w:style w:type="paragraph" w:styleId="CommentText">
    <w:name w:val="annotation text"/>
    <w:basedOn w:val="Normal"/>
    <w:link w:val="CommentTextChar"/>
    <w:uiPriority w:val="99"/>
    <w:unhideWhenUsed/>
    <w:rsid w:val="002729B8"/>
    <w:pPr>
      <w:spacing w:line="240" w:lineRule="auto"/>
    </w:pPr>
    <w:rPr>
      <w:sz w:val="20"/>
      <w:szCs w:val="20"/>
    </w:rPr>
  </w:style>
  <w:style w:type="character" w:customStyle="1" w:styleId="CommentTextChar">
    <w:name w:val="Comment Text Char"/>
    <w:basedOn w:val="DefaultParagraphFont"/>
    <w:link w:val="CommentText"/>
    <w:uiPriority w:val="99"/>
    <w:rsid w:val="002729B8"/>
    <w:rPr>
      <w:sz w:val="20"/>
      <w:szCs w:val="20"/>
    </w:rPr>
  </w:style>
  <w:style w:type="character" w:customStyle="1" w:styleId="normaltextrun">
    <w:name w:val="normaltextrun"/>
    <w:basedOn w:val="DefaultParagraphFont"/>
    <w:rsid w:val="002729B8"/>
  </w:style>
  <w:style w:type="character" w:customStyle="1" w:styleId="findhit">
    <w:name w:val="findhit"/>
    <w:basedOn w:val="DefaultParagraphFont"/>
    <w:rsid w:val="0027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43A.18" TargetMode="External"/><Relationship Id="rId13" Type="http://schemas.openxmlformats.org/officeDocument/2006/relationships/hyperlink" Target="https://www.revisor.mn.gov/statutes/2019/cite/43A.1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statutes/cite/43A.08" TargetMode="External"/><Relationship Id="rId12" Type="http://schemas.openxmlformats.org/officeDocument/2006/relationships/hyperlink" Target="https://www.revisor.mn.gov/statutes/2019/cite/43A.15"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visor.mn.gov/statutes/cite/43A.07" TargetMode="External"/><Relationship Id="rId11" Type="http://schemas.openxmlformats.org/officeDocument/2006/relationships/hyperlink" Target="chrome-extension://efaidnbmnnnibpcajpcglclefindmkaj/https:/mn.gov/mmb/assets/8-desigofunclasspositions_tcm1059-124099.pdf" TargetMode="External"/><Relationship Id="rId5" Type="http://schemas.openxmlformats.org/officeDocument/2006/relationships/image" Target="media/image1.png"/><Relationship Id="rId15" Type="http://schemas.microsoft.com/office/2011/relationships/commentsExtended" Target="commentsExtended.xml"/><Relationship Id="rId10" Type="http://schemas.openxmlformats.org/officeDocument/2006/relationships/hyperlink" Target="https://www.revisor.mn.gov/rules/3900.1300/"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revisor.mn.gov/statutes/cite/43A.08"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Marincel</dc:creator>
  <cp:keywords/>
  <dc:description/>
  <cp:lastModifiedBy>Cynthia Isaacson</cp:lastModifiedBy>
  <cp:revision>3</cp:revision>
  <dcterms:created xsi:type="dcterms:W3CDTF">2023-09-27T16:14:00Z</dcterms:created>
  <dcterms:modified xsi:type="dcterms:W3CDTF">2023-09-28T14:07:00Z</dcterms:modified>
</cp:coreProperties>
</file>