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412" w:rsidRDefault="006C1412" w:rsidP="00F272E3">
      <w:pPr>
        <w:pStyle w:val="NoSpacing"/>
        <w:spacing w:line="276" w:lineRule="auto"/>
        <w:contextualSpacing/>
        <w:jc w:val="center"/>
        <w:rPr>
          <w:rFonts w:ascii="Georgia" w:eastAsia="Times New Roman" w:hAnsi="Georgia" w:cs="Tahoma"/>
          <w:color w:val="000000"/>
          <w:sz w:val="36"/>
          <w:szCs w:val="36"/>
        </w:rPr>
      </w:pPr>
      <w:bookmarkStart w:id="0" w:name="_Hlk484699207"/>
      <w:bookmarkStart w:id="1" w:name="_GoBack"/>
      <w:bookmarkEnd w:id="0"/>
      <w:bookmarkEnd w:id="1"/>
      <w:r w:rsidRPr="00240028">
        <w:rPr>
          <w:rFonts w:ascii="Georgia" w:hAnsi="Georgia"/>
          <w:noProof/>
        </w:rPr>
        <w:drawing>
          <wp:inline distT="0" distB="0" distL="0" distR="0" wp14:anchorId="74B66D6E" wp14:editId="4A7D818A">
            <wp:extent cx="1540553" cy="859155"/>
            <wp:effectExtent l="0" t="0" r="254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8613" cy="880381"/>
                    </a:xfrm>
                    <a:prstGeom prst="rect">
                      <a:avLst/>
                    </a:prstGeom>
                    <a:noFill/>
                    <a:ln>
                      <a:noFill/>
                    </a:ln>
                  </pic:spPr>
                </pic:pic>
              </a:graphicData>
            </a:graphic>
          </wp:inline>
        </w:drawing>
      </w:r>
    </w:p>
    <w:p w:rsidR="00D43C16" w:rsidRPr="00F272E3" w:rsidRDefault="00D43C16" w:rsidP="00F272E3">
      <w:pPr>
        <w:pStyle w:val="NoSpacing"/>
        <w:spacing w:line="276" w:lineRule="auto"/>
        <w:contextualSpacing/>
        <w:jc w:val="center"/>
        <w:rPr>
          <w:rFonts w:ascii="Georgia" w:eastAsia="Times New Roman" w:hAnsi="Georgia" w:cs="Tahoma"/>
          <w:color w:val="000000"/>
          <w:sz w:val="36"/>
          <w:szCs w:val="36"/>
        </w:rPr>
      </w:pPr>
    </w:p>
    <w:p w:rsidR="006C1412" w:rsidRPr="00240028" w:rsidRDefault="00D43C16" w:rsidP="00427817">
      <w:pPr>
        <w:pStyle w:val="Title"/>
        <w:rPr>
          <w:rFonts w:eastAsia="Times New Roman"/>
        </w:rPr>
      </w:pPr>
      <w:r>
        <w:rPr>
          <w:rFonts w:eastAsia="Times New Roman"/>
        </w:rPr>
        <w:t xml:space="preserve">Special </w:t>
      </w:r>
      <w:r w:rsidR="006C1412" w:rsidRPr="00240028">
        <w:rPr>
          <w:rFonts w:eastAsia="Times New Roman"/>
        </w:rPr>
        <w:t>BOARD OF DIRECTORS</w:t>
      </w:r>
      <w:r w:rsidR="00427817">
        <w:rPr>
          <w:rFonts w:eastAsia="Times New Roman"/>
        </w:rPr>
        <w:t xml:space="preserve"> M</w:t>
      </w:r>
      <w:r>
        <w:rPr>
          <w:rFonts w:eastAsia="Times New Roman"/>
        </w:rPr>
        <w:t>eeting Minutes</w:t>
      </w:r>
    </w:p>
    <w:p w:rsidR="006C1412" w:rsidRPr="00240028" w:rsidRDefault="00CD118D" w:rsidP="00427817">
      <w:pPr>
        <w:pStyle w:val="Subtitle"/>
        <w:rPr>
          <w:rFonts w:eastAsia="Times New Roman"/>
        </w:rPr>
      </w:pPr>
      <w:r>
        <w:rPr>
          <w:rFonts w:eastAsia="Times New Roman"/>
        </w:rPr>
        <w:t>November</w:t>
      </w:r>
      <w:r w:rsidR="00D43C16">
        <w:rPr>
          <w:rFonts w:eastAsia="Times New Roman"/>
        </w:rPr>
        <w:t xml:space="preserve"> 30,</w:t>
      </w:r>
      <w:r w:rsidR="006C1412" w:rsidRPr="00240028">
        <w:rPr>
          <w:rFonts w:eastAsia="Times New Roman"/>
        </w:rPr>
        <w:t xml:space="preserve"> 2020</w:t>
      </w:r>
    </w:p>
    <w:p w:rsidR="00ED0A60" w:rsidRDefault="00ED0A60" w:rsidP="00F272E3">
      <w:pPr>
        <w:spacing w:after="0"/>
        <w:contextualSpacing/>
        <w:rPr>
          <w:rFonts w:eastAsia="Times New Roman" w:cs="Tahoma"/>
          <w:b/>
          <w:i/>
          <w:sz w:val="20"/>
          <w:szCs w:val="20"/>
          <w:u w:val="single"/>
        </w:rPr>
      </w:pPr>
    </w:p>
    <w:p w:rsidR="00F272E3" w:rsidRDefault="00F272E3" w:rsidP="00F272E3">
      <w:pPr>
        <w:spacing w:after="0"/>
        <w:contextualSpacing/>
        <w:rPr>
          <w:rFonts w:eastAsia="Times New Roman" w:cs="Tahoma"/>
          <w:sz w:val="20"/>
          <w:szCs w:val="20"/>
        </w:rPr>
      </w:pPr>
      <w:r w:rsidRPr="00F272E3">
        <w:rPr>
          <w:rFonts w:eastAsia="Times New Roman" w:cs="Tahoma"/>
          <w:b/>
          <w:i/>
          <w:sz w:val="20"/>
          <w:szCs w:val="20"/>
          <w:u w:val="single"/>
        </w:rPr>
        <w:t>Identity</w:t>
      </w:r>
      <w:r>
        <w:rPr>
          <w:rFonts w:eastAsia="Times New Roman" w:cs="Tahoma"/>
          <w:sz w:val="20"/>
          <w:szCs w:val="20"/>
        </w:rPr>
        <w:t>: MAPE is a labor union of professionals dedicated to acting for the common good in a democratic society while advancing the interests of its members</w:t>
      </w:r>
    </w:p>
    <w:p w:rsidR="00F272E3" w:rsidRDefault="00F272E3" w:rsidP="00F272E3">
      <w:pPr>
        <w:pBdr>
          <w:bottom w:val="single" w:sz="12" w:space="1" w:color="auto"/>
        </w:pBdr>
        <w:spacing w:after="0"/>
        <w:contextualSpacing/>
        <w:rPr>
          <w:rFonts w:eastAsia="Times New Roman" w:cs="Tahoma"/>
          <w:sz w:val="20"/>
          <w:szCs w:val="20"/>
        </w:rPr>
      </w:pPr>
      <w:r w:rsidRPr="00F272E3">
        <w:rPr>
          <w:rFonts w:eastAsia="Times New Roman" w:cs="Tahoma"/>
          <w:b/>
          <w:i/>
          <w:sz w:val="20"/>
          <w:szCs w:val="20"/>
          <w:u w:val="single"/>
        </w:rPr>
        <w:t>Purpose</w:t>
      </w:r>
      <w:r>
        <w:rPr>
          <w:rFonts w:eastAsia="Times New Roman" w:cs="Tahoma"/>
          <w:sz w:val="20"/>
          <w:szCs w:val="20"/>
        </w:rPr>
        <w:t>: MAPE organizes and develops the civic capacity of state employees to advocate for members and build power in the workplace to improve civic life for all Minnesotans</w:t>
      </w:r>
    </w:p>
    <w:p w:rsidR="00427817" w:rsidRDefault="00427817" w:rsidP="00F272E3">
      <w:pPr>
        <w:spacing w:after="0"/>
        <w:contextualSpacing/>
        <w:rPr>
          <w:rFonts w:eastAsia="Times New Roman" w:cs="Tahoma"/>
          <w:sz w:val="20"/>
          <w:szCs w:val="20"/>
        </w:rPr>
      </w:pPr>
    </w:p>
    <w:p w:rsidR="00ED0A60" w:rsidRDefault="00ED0A60" w:rsidP="00232CF0">
      <w:pPr>
        <w:spacing w:after="0"/>
        <w:contextualSpacing/>
        <w:jc w:val="center"/>
        <w:rPr>
          <w:rFonts w:eastAsia="Times New Roman" w:cs="Tahoma"/>
          <w:sz w:val="20"/>
          <w:szCs w:val="20"/>
        </w:rPr>
      </w:pPr>
    </w:p>
    <w:p w:rsidR="007B468A" w:rsidRDefault="00427817" w:rsidP="00232CF0">
      <w:pPr>
        <w:spacing w:after="0"/>
        <w:contextualSpacing/>
        <w:rPr>
          <w:rFonts w:eastAsia="Times New Roman" w:cs="Tahoma"/>
          <w:bCs/>
          <w:color w:val="000000"/>
          <w:szCs w:val="24"/>
        </w:rPr>
      </w:pPr>
      <w:r>
        <w:rPr>
          <w:rFonts w:eastAsia="Times New Roman" w:cs="Tahoma"/>
          <w:bCs/>
          <w:color w:val="000000"/>
          <w:szCs w:val="24"/>
        </w:rPr>
        <w:t xml:space="preserve">Meeting called to order at </w:t>
      </w:r>
      <w:r w:rsidR="00D43C16">
        <w:rPr>
          <w:rFonts w:eastAsia="Times New Roman" w:cs="Tahoma"/>
          <w:bCs/>
          <w:color w:val="000000"/>
          <w:szCs w:val="24"/>
        </w:rPr>
        <w:t>12:05 p</w:t>
      </w:r>
      <w:r>
        <w:rPr>
          <w:rFonts w:eastAsia="Times New Roman" w:cs="Tahoma"/>
          <w:bCs/>
          <w:color w:val="000000"/>
          <w:szCs w:val="24"/>
        </w:rPr>
        <w:t>.m.</w:t>
      </w:r>
    </w:p>
    <w:p w:rsidR="00427817" w:rsidRDefault="00427817" w:rsidP="00232CF0">
      <w:pPr>
        <w:spacing w:after="0"/>
        <w:contextualSpacing/>
        <w:rPr>
          <w:rFonts w:eastAsia="Times New Roman" w:cs="Tahoma"/>
          <w:bCs/>
          <w:color w:val="000000"/>
          <w:szCs w:val="24"/>
        </w:rPr>
      </w:pPr>
      <w:r>
        <w:rPr>
          <w:rFonts w:eastAsia="Times New Roman" w:cs="Tahoma"/>
          <w:bCs/>
          <w:color w:val="000000"/>
          <w:szCs w:val="24"/>
        </w:rPr>
        <w:t>Statewide (SW) President Megan Dayton</w:t>
      </w:r>
    </w:p>
    <w:p w:rsidR="007B468A" w:rsidRDefault="00427817" w:rsidP="00427817">
      <w:pPr>
        <w:pStyle w:val="Heading1"/>
        <w:rPr>
          <w:rFonts w:eastAsia="Times New Roman"/>
        </w:rPr>
      </w:pPr>
      <w:r>
        <w:rPr>
          <w:rFonts w:eastAsia="Times New Roman"/>
        </w:rPr>
        <w:t>Roll Call</w:t>
      </w:r>
      <w:r w:rsidR="00982C7E">
        <w:rPr>
          <w:rFonts w:eastAsia="Times New Roman"/>
        </w:rPr>
        <w:t xml:space="preserve"> &amp; Reading of the Identity Statement</w:t>
      </w:r>
      <w:r>
        <w:rPr>
          <w:rFonts w:eastAsia="Times New Roman"/>
        </w:rPr>
        <w:t>:</w:t>
      </w:r>
    </w:p>
    <w:p w:rsidR="001923FE" w:rsidRDefault="00D43C16" w:rsidP="001923FE">
      <w:pPr>
        <w:pStyle w:val="ListParagraph"/>
        <w:spacing w:after="0"/>
        <w:ind w:left="0"/>
      </w:pPr>
      <w:r w:rsidRPr="001923FE">
        <w:rPr>
          <w:b/>
        </w:rPr>
        <w:t>Present</w:t>
      </w:r>
      <w:r>
        <w:t xml:space="preserve">: Region 1 Darci Wing; </w:t>
      </w:r>
      <w:r w:rsidR="001923FE">
        <w:t xml:space="preserve">Region 2 Randy Shimpach; </w:t>
      </w:r>
      <w:r>
        <w:t>Region 3 Shanna Schmitt; Region 4 Chris Smith; Region 5 Robert Johnson</w:t>
      </w:r>
      <w:r w:rsidR="001923FE">
        <w:t xml:space="preserve"> (sub for open position)</w:t>
      </w:r>
      <w:r>
        <w:t xml:space="preserve">; </w:t>
      </w:r>
      <w:r w:rsidR="001923FE">
        <w:t>Region</w:t>
      </w:r>
      <w:r>
        <w:t xml:space="preserve"> 6</w:t>
      </w:r>
      <w:r w:rsidR="001923FE">
        <w:t xml:space="preserve"> Katey Kinley; Region </w:t>
      </w:r>
      <w:r>
        <w:t>8</w:t>
      </w:r>
      <w:r w:rsidR="001923FE">
        <w:t xml:space="preserve"> Ken Rodgers; Region 1</w:t>
      </w:r>
      <w:r>
        <w:t>2</w:t>
      </w:r>
      <w:r w:rsidR="001923FE">
        <w:t xml:space="preserve"> Tess Flom; Region</w:t>
      </w:r>
      <w:r>
        <w:t xml:space="preserve"> 14</w:t>
      </w:r>
      <w:r w:rsidR="001923FE">
        <w:t xml:space="preserve"> Ann Adkisson; Region </w:t>
      </w:r>
      <w:r>
        <w:t>16</w:t>
      </w:r>
      <w:r w:rsidR="001923FE">
        <w:t xml:space="preserve"> </w:t>
      </w:r>
      <w:r>
        <w:t>Darren</w:t>
      </w:r>
      <w:r w:rsidR="001923FE">
        <w:t xml:space="preserve"> Hage; Region</w:t>
      </w:r>
      <w:r>
        <w:t xml:space="preserve"> 17</w:t>
      </w:r>
      <w:r w:rsidR="001923FE">
        <w:t xml:space="preserve"> Mike Terhune; Region </w:t>
      </w:r>
      <w:r>
        <w:t>18</w:t>
      </w:r>
      <w:r w:rsidR="001923FE">
        <w:t xml:space="preserve"> Tim Beske; Region </w:t>
      </w:r>
      <w:r>
        <w:t>19</w:t>
      </w:r>
      <w:r w:rsidR="001923FE">
        <w:t xml:space="preserve"> Jerry Jeffries; Region</w:t>
      </w:r>
      <w:r>
        <w:t xml:space="preserve"> 20</w:t>
      </w:r>
      <w:r w:rsidR="001923FE">
        <w:t xml:space="preserve"> </w:t>
      </w:r>
      <w:r>
        <w:t>Angela</w:t>
      </w:r>
      <w:r w:rsidR="001923FE">
        <w:t xml:space="preserve"> Christle; Region </w:t>
      </w:r>
      <w:r>
        <w:t>21</w:t>
      </w:r>
      <w:r w:rsidR="001923FE">
        <w:t xml:space="preserve"> Sarah Sinderbrand; SW Vice President (VP) Thu Phan; </w:t>
      </w:r>
      <w:r w:rsidR="001923FE">
        <w:rPr>
          <w:rFonts w:eastAsia="Times New Roman" w:cs="Tahoma"/>
          <w:bCs/>
          <w:color w:val="000000"/>
          <w:szCs w:val="24"/>
        </w:rPr>
        <w:t>Speaker of the Meet &amp; Confer Committees (Speaker) Whitney Terrill; Organizing Council Chair Sarah Evans; Political Council Chair Cathleen Cotter.</w:t>
      </w:r>
    </w:p>
    <w:p w:rsidR="001923FE" w:rsidRDefault="001923FE" w:rsidP="001923FE">
      <w:pPr>
        <w:pStyle w:val="ListParagraph"/>
        <w:spacing w:after="0"/>
        <w:ind w:left="0"/>
        <w:rPr>
          <w:rFonts w:eastAsia="Times New Roman" w:cs="Tahoma"/>
          <w:bCs/>
          <w:color w:val="000000"/>
          <w:szCs w:val="24"/>
        </w:rPr>
      </w:pPr>
      <w:r>
        <w:rPr>
          <w:rFonts w:eastAsia="Times New Roman" w:cs="Tahoma"/>
          <w:bCs/>
          <w:color w:val="000000"/>
          <w:szCs w:val="24"/>
        </w:rPr>
        <w:t>Staff: Executive Director (ED) Lina Jamoul.</w:t>
      </w:r>
    </w:p>
    <w:p w:rsidR="00D43C16" w:rsidRDefault="00D43C16" w:rsidP="00D43C16">
      <w:pPr>
        <w:rPr>
          <w:rFonts w:eastAsia="Times New Roman" w:cs="Tahoma"/>
          <w:bCs/>
          <w:color w:val="000000"/>
          <w:szCs w:val="24"/>
        </w:rPr>
      </w:pPr>
      <w:r w:rsidRPr="001923FE">
        <w:rPr>
          <w:b/>
        </w:rPr>
        <w:t>Absent</w:t>
      </w:r>
      <w:r w:rsidR="001923FE">
        <w:t>:</w:t>
      </w:r>
      <w:r>
        <w:t xml:space="preserve"> </w:t>
      </w:r>
      <w:r w:rsidR="001923FE">
        <w:t>Region</w:t>
      </w:r>
      <w:r>
        <w:t xml:space="preserve"> 7</w:t>
      </w:r>
      <w:r w:rsidR="00214D5D">
        <w:t xml:space="preserve"> Ellena Schoop; Region </w:t>
      </w:r>
      <w:r>
        <w:t>9</w:t>
      </w:r>
      <w:r w:rsidR="00214D5D">
        <w:t xml:space="preserve"> Stephanie Meyer; Region </w:t>
      </w:r>
      <w:r>
        <w:t>10</w:t>
      </w:r>
      <w:r w:rsidR="00214D5D">
        <w:t xml:space="preserve"> Jackie Blagsvedt; Region </w:t>
      </w:r>
      <w:r>
        <w:t>11</w:t>
      </w:r>
      <w:r w:rsidR="00214D5D">
        <w:t xml:space="preserve"> Jess Raptis; Region </w:t>
      </w:r>
      <w:r>
        <w:t>13</w:t>
      </w:r>
      <w:r w:rsidR="00214D5D">
        <w:t xml:space="preserve"> Lois Tucke; Region </w:t>
      </w:r>
      <w:r>
        <w:t>15</w:t>
      </w:r>
      <w:r w:rsidR="00214D5D">
        <w:t xml:space="preserve"> Bryan Kotta; </w:t>
      </w:r>
      <w:r w:rsidR="00214D5D">
        <w:rPr>
          <w:rFonts w:eastAsia="Times New Roman" w:cs="Tahoma"/>
          <w:bCs/>
          <w:color w:val="000000"/>
          <w:szCs w:val="24"/>
        </w:rPr>
        <w:t>SW Secretary (Secretary) Lynn Butcher</w:t>
      </w:r>
    </w:p>
    <w:p w:rsidR="00D43C16" w:rsidRDefault="00D43C16" w:rsidP="001B3312">
      <w:pPr>
        <w:spacing w:after="0" w:line="240" w:lineRule="auto"/>
        <w:rPr>
          <w:b/>
          <w:sz w:val="28"/>
          <w:szCs w:val="28"/>
        </w:rPr>
      </w:pPr>
      <w:r w:rsidRPr="00D43C16">
        <w:rPr>
          <w:b/>
          <w:sz w:val="28"/>
          <w:szCs w:val="28"/>
        </w:rPr>
        <w:t>Discussion of proposed Memorandum</w:t>
      </w:r>
      <w:r>
        <w:rPr>
          <w:b/>
          <w:sz w:val="28"/>
          <w:szCs w:val="28"/>
        </w:rPr>
        <w:t>s</w:t>
      </w:r>
      <w:r w:rsidRPr="00D43C16">
        <w:rPr>
          <w:b/>
          <w:sz w:val="28"/>
          <w:szCs w:val="28"/>
        </w:rPr>
        <w:t xml:space="preserve"> of Understanding</w:t>
      </w:r>
      <w:r>
        <w:rPr>
          <w:b/>
          <w:sz w:val="28"/>
          <w:szCs w:val="28"/>
        </w:rPr>
        <w:t>:</w:t>
      </w:r>
    </w:p>
    <w:p w:rsidR="001B3312" w:rsidRDefault="001B3312" w:rsidP="00D43C16">
      <w:pPr>
        <w:rPr>
          <w:szCs w:val="24"/>
        </w:rPr>
      </w:pPr>
      <w:r w:rsidRPr="001B3312">
        <w:rPr>
          <w:szCs w:val="24"/>
        </w:rPr>
        <w:t xml:space="preserve">SW President Dayton and ED Jamoul provided an overview of the proposed </w:t>
      </w:r>
      <w:r w:rsidR="000C51B2">
        <w:rPr>
          <w:szCs w:val="24"/>
        </w:rPr>
        <w:t xml:space="preserve">Early Retirement Incentive </w:t>
      </w:r>
      <w:r w:rsidRPr="001B3312">
        <w:rPr>
          <w:szCs w:val="24"/>
        </w:rPr>
        <w:t>memorandums and answered questions about them.</w:t>
      </w:r>
    </w:p>
    <w:p w:rsidR="001B3312" w:rsidRDefault="001B3312" w:rsidP="001B3312">
      <w:pPr>
        <w:pStyle w:val="ListParagraph"/>
        <w:spacing w:after="0"/>
        <w:ind w:left="0"/>
        <w:rPr>
          <w:rFonts w:eastAsia="Times New Roman" w:cs="Tahoma"/>
          <w:b/>
          <w:bCs/>
          <w:i/>
          <w:color w:val="000000"/>
          <w:szCs w:val="24"/>
        </w:rPr>
      </w:pPr>
      <w:r w:rsidRPr="001B3312">
        <w:rPr>
          <w:rFonts w:eastAsia="Times New Roman" w:cs="Tahoma"/>
          <w:b/>
          <w:bCs/>
          <w:i/>
          <w:color w:val="000000"/>
          <w:szCs w:val="24"/>
        </w:rPr>
        <w:t xml:space="preserve">M </w:t>
      </w:r>
      <w:r w:rsidRPr="001B3312">
        <w:rPr>
          <w:rFonts w:eastAsia="Times New Roman" w:cs="Tahoma"/>
          <w:bCs/>
          <w:i/>
          <w:color w:val="000000"/>
          <w:szCs w:val="24"/>
        </w:rPr>
        <w:t xml:space="preserve">(Cotter) </w:t>
      </w:r>
      <w:r w:rsidRPr="001B3312">
        <w:rPr>
          <w:rFonts w:eastAsia="Times New Roman" w:cs="Tahoma"/>
          <w:b/>
          <w:bCs/>
          <w:i/>
          <w:color w:val="000000"/>
          <w:szCs w:val="24"/>
        </w:rPr>
        <w:t xml:space="preserve">SP </w:t>
      </w:r>
      <w:r w:rsidR="00FB1AF0" w:rsidRPr="00FB1AF0">
        <w:rPr>
          <w:rFonts w:eastAsia="Times New Roman" w:cs="Tahoma"/>
          <w:bCs/>
          <w:i/>
          <w:color w:val="000000"/>
          <w:szCs w:val="24"/>
        </w:rPr>
        <w:t>to a</w:t>
      </w:r>
      <w:r w:rsidRPr="001B3312">
        <w:rPr>
          <w:rFonts w:eastAsia="Times New Roman" w:cs="Tahoma"/>
          <w:bCs/>
          <w:i/>
          <w:color w:val="000000"/>
          <w:szCs w:val="24"/>
        </w:rPr>
        <w:t xml:space="preserve">pprove </w:t>
      </w:r>
      <w:r w:rsidR="00FB1AF0">
        <w:rPr>
          <w:rFonts w:eastAsia="Times New Roman" w:cs="Tahoma"/>
          <w:bCs/>
          <w:i/>
          <w:color w:val="000000"/>
          <w:szCs w:val="24"/>
        </w:rPr>
        <w:t>both MOU’s</w:t>
      </w:r>
      <w:r w:rsidRPr="001B3312">
        <w:rPr>
          <w:rFonts w:eastAsia="Times New Roman" w:cs="Tahoma"/>
          <w:bCs/>
          <w:i/>
          <w:color w:val="000000"/>
          <w:szCs w:val="24"/>
        </w:rPr>
        <w:t xml:space="preserve">. </w:t>
      </w:r>
      <w:r w:rsidRPr="001B3312">
        <w:rPr>
          <w:rFonts w:eastAsia="Times New Roman" w:cs="Tahoma"/>
          <w:b/>
          <w:bCs/>
          <w:i/>
          <w:color w:val="000000"/>
          <w:szCs w:val="24"/>
        </w:rPr>
        <w:t>Consensus</w:t>
      </w:r>
    </w:p>
    <w:p w:rsidR="009B36DE" w:rsidRPr="001B3312" w:rsidRDefault="009B36DE" w:rsidP="001B3312">
      <w:pPr>
        <w:pStyle w:val="ListParagraph"/>
        <w:spacing w:after="0"/>
        <w:ind w:left="0"/>
        <w:rPr>
          <w:rFonts w:eastAsia="Times New Roman" w:cs="Tahoma"/>
          <w:b/>
          <w:bCs/>
          <w:i/>
          <w:color w:val="000000"/>
          <w:szCs w:val="24"/>
        </w:rPr>
      </w:pPr>
    </w:p>
    <w:p w:rsidR="00982C7E" w:rsidRDefault="009B36DE" w:rsidP="00427817">
      <w:pPr>
        <w:pStyle w:val="ListParagraph"/>
        <w:spacing w:after="0"/>
        <w:ind w:left="0"/>
        <w:rPr>
          <w:rFonts w:eastAsia="Times New Roman" w:cs="Tahoma"/>
          <w:bCs/>
          <w:color w:val="000000"/>
          <w:szCs w:val="24"/>
        </w:rPr>
      </w:pPr>
      <w:r>
        <w:rPr>
          <w:rFonts w:eastAsia="Times New Roman" w:cs="Tahoma"/>
          <w:bCs/>
          <w:color w:val="000000"/>
          <w:szCs w:val="24"/>
        </w:rPr>
        <w:t>W</w:t>
      </w:r>
      <w:r w:rsidR="00A672B1">
        <w:rPr>
          <w:rFonts w:eastAsia="Times New Roman" w:cs="Tahoma"/>
          <w:bCs/>
          <w:color w:val="000000"/>
          <w:szCs w:val="24"/>
        </w:rPr>
        <w:t xml:space="preserve">e will </w:t>
      </w:r>
      <w:r>
        <w:rPr>
          <w:rFonts w:eastAsia="Times New Roman" w:cs="Tahoma"/>
          <w:bCs/>
          <w:color w:val="000000"/>
          <w:szCs w:val="24"/>
        </w:rPr>
        <w:t xml:space="preserve">send these </w:t>
      </w:r>
      <w:r w:rsidR="00A672B1">
        <w:rPr>
          <w:rFonts w:eastAsia="Times New Roman" w:cs="Tahoma"/>
          <w:bCs/>
          <w:color w:val="000000"/>
          <w:szCs w:val="24"/>
        </w:rPr>
        <w:t xml:space="preserve">back </w:t>
      </w:r>
      <w:r>
        <w:rPr>
          <w:rFonts w:eastAsia="Times New Roman" w:cs="Tahoma"/>
          <w:bCs/>
          <w:color w:val="000000"/>
          <w:szCs w:val="24"/>
        </w:rPr>
        <w:t xml:space="preserve">to MMB </w:t>
      </w:r>
      <w:r w:rsidR="00A672B1">
        <w:rPr>
          <w:rFonts w:eastAsia="Times New Roman" w:cs="Tahoma"/>
          <w:bCs/>
          <w:color w:val="000000"/>
          <w:szCs w:val="24"/>
        </w:rPr>
        <w:t xml:space="preserve">with our approval </w:t>
      </w:r>
      <w:r>
        <w:rPr>
          <w:rFonts w:eastAsia="Times New Roman" w:cs="Tahoma"/>
          <w:bCs/>
          <w:color w:val="000000"/>
          <w:szCs w:val="24"/>
        </w:rPr>
        <w:t xml:space="preserve">since </w:t>
      </w:r>
      <w:r w:rsidR="00A672B1">
        <w:rPr>
          <w:rFonts w:eastAsia="Times New Roman" w:cs="Tahoma"/>
          <w:bCs/>
          <w:color w:val="000000"/>
          <w:szCs w:val="24"/>
        </w:rPr>
        <w:t xml:space="preserve">a vote by the membership is not feasible here because </w:t>
      </w:r>
      <w:r>
        <w:rPr>
          <w:rFonts w:eastAsia="Times New Roman" w:cs="Tahoma"/>
          <w:bCs/>
          <w:color w:val="000000"/>
          <w:szCs w:val="24"/>
        </w:rPr>
        <w:t>d</w:t>
      </w:r>
      <w:r w:rsidR="00745C3B">
        <w:rPr>
          <w:rFonts w:eastAsia="Times New Roman" w:cs="Tahoma"/>
          <w:bCs/>
          <w:color w:val="000000"/>
          <w:szCs w:val="24"/>
        </w:rPr>
        <w:t xml:space="preserve">etermining who is impacted is </w:t>
      </w:r>
      <w:r w:rsidR="00A672B1">
        <w:rPr>
          <w:rFonts w:eastAsia="Times New Roman" w:cs="Tahoma"/>
          <w:bCs/>
          <w:color w:val="000000"/>
          <w:szCs w:val="24"/>
        </w:rPr>
        <w:t>difficult to impossible</w:t>
      </w:r>
      <w:r w:rsidR="00745C3B">
        <w:rPr>
          <w:rFonts w:eastAsia="Times New Roman" w:cs="Tahoma"/>
          <w:bCs/>
          <w:color w:val="000000"/>
          <w:szCs w:val="24"/>
        </w:rPr>
        <w:t xml:space="preserve"> and the</w:t>
      </w:r>
      <w:r w:rsidR="00A672B1">
        <w:rPr>
          <w:rFonts w:eastAsia="Times New Roman" w:cs="Tahoma"/>
          <w:bCs/>
          <w:color w:val="000000"/>
          <w:szCs w:val="24"/>
        </w:rPr>
        <w:t>y</w:t>
      </w:r>
      <w:r>
        <w:rPr>
          <w:rFonts w:eastAsia="Times New Roman" w:cs="Tahoma"/>
          <w:bCs/>
          <w:color w:val="000000"/>
          <w:szCs w:val="24"/>
        </w:rPr>
        <w:t xml:space="preserve"> need to be returned to MMB in the next few days</w:t>
      </w:r>
      <w:r w:rsidR="00A672B1">
        <w:rPr>
          <w:rFonts w:eastAsia="Times New Roman" w:cs="Tahoma"/>
          <w:bCs/>
          <w:color w:val="000000"/>
          <w:szCs w:val="24"/>
        </w:rPr>
        <w:t xml:space="preserve"> for the timeline to work</w:t>
      </w:r>
      <w:r>
        <w:rPr>
          <w:rFonts w:eastAsia="Times New Roman" w:cs="Tahoma"/>
          <w:bCs/>
          <w:color w:val="000000"/>
          <w:szCs w:val="24"/>
        </w:rPr>
        <w:t xml:space="preserve">. </w:t>
      </w:r>
    </w:p>
    <w:p w:rsidR="00745C3B" w:rsidRDefault="00745C3B" w:rsidP="00427817">
      <w:pPr>
        <w:pStyle w:val="ListParagraph"/>
        <w:spacing w:after="0"/>
        <w:ind w:left="0"/>
        <w:rPr>
          <w:rFonts w:eastAsia="Times New Roman" w:cs="Tahoma"/>
          <w:bCs/>
          <w:color w:val="000000"/>
          <w:szCs w:val="24"/>
        </w:rPr>
      </w:pPr>
    </w:p>
    <w:p w:rsidR="00745C3B" w:rsidRDefault="009B36DE" w:rsidP="00427817">
      <w:pPr>
        <w:pStyle w:val="ListParagraph"/>
        <w:spacing w:after="0"/>
        <w:ind w:left="0"/>
        <w:rPr>
          <w:rFonts w:eastAsia="Times New Roman" w:cs="Tahoma"/>
          <w:bCs/>
          <w:color w:val="000000"/>
          <w:szCs w:val="24"/>
        </w:rPr>
      </w:pPr>
      <w:r>
        <w:rPr>
          <w:rFonts w:eastAsia="Times New Roman" w:cs="Tahoma"/>
          <w:bCs/>
          <w:color w:val="000000"/>
          <w:szCs w:val="24"/>
        </w:rPr>
        <w:t>Executive Director Jamoul will</w:t>
      </w:r>
      <w:r w:rsidR="00745C3B">
        <w:rPr>
          <w:rFonts w:eastAsia="Times New Roman" w:cs="Tahoma"/>
          <w:bCs/>
          <w:color w:val="000000"/>
          <w:szCs w:val="24"/>
        </w:rPr>
        <w:t xml:space="preserve"> develop talking points</w:t>
      </w:r>
      <w:r>
        <w:rPr>
          <w:rFonts w:eastAsia="Times New Roman" w:cs="Tahoma"/>
          <w:bCs/>
          <w:color w:val="000000"/>
          <w:szCs w:val="24"/>
        </w:rPr>
        <w:t xml:space="preserve"> for distribution to MAPE leaders.</w:t>
      </w:r>
    </w:p>
    <w:p w:rsidR="00CE4F8A" w:rsidRDefault="00CE4F8A" w:rsidP="00427817">
      <w:pPr>
        <w:pStyle w:val="ListParagraph"/>
        <w:spacing w:after="0"/>
        <w:ind w:left="0"/>
        <w:rPr>
          <w:b/>
          <w:sz w:val="28"/>
          <w:szCs w:val="28"/>
        </w:rPr>
      </w:pPr>
      <w:r>
        <w:rPr>
          <w:b/>
          <w:sz w:val="28"/>
          <w:szCs w:val="28"/>
        </w:rPr>
        <w:lastRenderedPageBreak/>
        <w:t>Members report receiving letters encouraging them to drop their membership:</w:t>
      </w:r>
    </w:p>
    <w:p w:rsidR="009B36DE" w:rsidRDefault="009B36DE" w:rsidP="00427817">
      <w:pPr>
        <w:pStyle w:val="ListParagraph"/>
        <w:spacing w:after="0"/>
        <w:ind w:left="0"/>
        <w:rPr>
          <w:rFonts w:eastAsia="Times New Roman" w:cs="Tahoma"/>
          <w:bCs/>
          <w:color w:val="000000"/>
          <w:szCs w:val="24"/>
        </w:rPr>
      </w:pPr>
      <w:r>
        <w:rPr>
          <w:rFonts w:eastAsia="Times New Roman" w:cs="Tahoma"/>
          <w:bCs/>
          <w:color w:val="000000"/>
          <w:szCs w:val="24"/>
        </w:rPr>
        <w:t xml:space="preserve">SW President Dayton mentioned </w:t>
      </w:r>
      <w:r w:rsidR="00CE4F8A">
        <w:rPr>
          <w:rFonts w:eastAsia="Times New Roman" w:cs="Tahoma"/>
          <w:bCs/>
          <w:color w:val="000000"/>
          <w:szCs w:val="24"/>
        </w:rPr>
        <w:t xml:space="preserve">that some of our </w:t>
      </w:r>
      <w:r>
        <w:rPr>
          <w:rFonts w:eastAsia="Times New Roman" w:cs="Tahoma"/>
          <w:bCs/>
          <w:color w:val="000000"/>
          <w:szCs w:val="24"/>
        </w:rPr>
        <w:t xml:space="preserve">members have received letters about how to drop their membership. This looks to be the next round by anti-labor to </w:t>
      </w:r>
      <w:r w:rsidR="00CE4F8A">
        <w:rPr>
          <w:rFonts w:eastAsia="Times New Roman" w:cs="Tahoma"/>
          <w:bCs/>
          <w:color w:val="000000"/>
          <w:szCs w:val="24"/>
        </w:rPr>
        <w:t xml:space="preserve">reduce our membership. Executive Director Jamoul explained how groups like this might be getting home addresses using information that is publicly available (even though it is classified as not-public through information requests). </w:t>
      </w:r>
      <w:r w:rsidR="00CA10E9">
        <w:rPr>
          <w:rFonts w:eastAsia="Times New Roman" w:cs="Tahoma"/>
          <w:bCs/>
          <w:color w:val="000000"/>
          <w:szCs w:val="24"/>
        </w:rPr>
        <w:t>Sharing our stories of why we are union members and what we can accomplish together will help counteract this effort.</w:t>
      </w:r>
    </w:p>
    <w:p w:rsidR="00CE4F8A" w:rsidRDefault="00CE4F8A" w:rsidP="00427817">
      <w:pPr>
        <w:pStyle w:val="ListParagraph"/>
        <w:spacing w:after="0"/>
        <w:ind w:left="0"/>
        <w:rPr>
          <w:rFonts w:eastAsia="Times New Roman" w:cs="Tahoma"/>
          <w:bCs/>
          <w:color w:val="000000"/>
          <w:szCs w:val="24"/>
        </w:rPr>
      </w:pPr>
    </w:p>
    <w:p w:rsidR="00CE4F8A" w:rsidRPr="00CE4F8A" w:rsidRDefault="00CE4F8A" w:rsidP="00427817">
      <w:pPr>
        <w:pStyle w:val="ListParagraph"/>
        <w:spacing w:after="0"/>
        <w:ind w:left="0"/>
        <w:rPr>
          <w:rFonts w:eastAsia="Times New Roman" w:cs="Tahoma"/>
          <w:bCs/>
          <w:i/>
          <w:color w:val="000000"/>
          <w:szCs w:val="24"/>
        </w:rPr>
      </w:pPr>
      <w:r w:rsidRPr="00CE4F8A">
        <w:rPr>
          <w:rFonts w:eastAsia="Times New Roman" w:cs="Tahoma"/>
          <w:b/>
          <w:bCs/>
          <w:i/>
          <w:color w:val="000000"/>
          <w:szCs w:val="24"/>
        </w:rPr>
        <w:t>M</w:t>
      </w:r>
      <w:r w:rsidRPr="00CE4F8A">
        <w:rPr>
          <w:rFonts w:eastAsia="Times New Roman" w:cs="Tahoma"/>
          <w:bCs/>
          <w:i/>
          <w:color w:val="000000"/>
          <w:szCs w:val="24"/>
        </w:rPr>
        <w:t xml:space="preserve"> (Johnson) </w:t>
      </w:r>
      <w:r w:rsidRPr="00CE4F8A">
        <w:rPr>
          <w:rFonts w:eastAsia="Times New Roman" w:cs="Tahoma"/>
          <w:b/>
          <w:bCs/>
          <w:i/>
          <w:color w:val="000000"/>
          <w:szCs w:val="24"/>
        </w:rPr>
        <w:t>SP</w:t>
      </w:r>
      <w:r w:rsidRPr="00CE4F8A">
        <w:rPr>
          <w:rFonts w:eastAsia="Times New Roman" w:cs="Tahoma"/>
          <w:bCs/>
          <w:i/>
          <w:color w:val="000000"/>
          <w:szCs w:val="24"/>
        </w:rPr>
        <w:t xml:space="preserve"> to adjourn. </w:t>
      </w:r>
      <w:r w:rsidRPr="00CE4F8A">
        <w:rPr>
          <w:rFonts w:eastAsia="Times New Roman" w:cs="Tahoma"/>
          <w:b/>
          <w:bCs/>
          <w:i/>
          <w:color w:val="000000"/>
          <w:szCs w:val="24"/>
        </w:rPr>
        <w:t>Consensus</w:t>
      </w:r>
    </w:p>
    <w:p w:rsidR="00CE4F8A" w:rsidRDefault="00CE4F8A" w:rsidP="00427817">
      <w:pPr>
        <w:pStyle w:val="ListParagraph"/>
        <w:spacing w:after="0"/>
        <w:ind w:left="0"/>
        <w:rPr>
          <w:rFonts w:eastAsia="Times New Roman" w:cs="Tahoma"/>
          <w:bCs/>
          <w:color w:val="000000"/>
          <w:szCs w:val="24"/>
        </w:rPr>
      </w:pPr>
      <w:r>
        <w:rPr>
          <w:rFonts w:eastAsia="Times New Roman" w:cs="Tahoma"/>
          <w:bCs/>
          <w:color w:val="000000"/>
          <w:szCs w:val="24"/>
        </w:rPr>
        <w:t>Meeting adjourned at 12:58 p.m.</w:t>
      </w:r>
    </w:p>
    <w:p w:rsidR="000C51B2" w:rsidRDefault="000C51B2" w:rsidP="00427817">
      <w:pPr>
        <w:pStyle w:val="ListParagraph"/>
        <w:spacing w:after="0"/>
        <w:ind w:left="0"/>
        <w:rPr>
          <w:rFonts w:eastAsia="Times New Roman" w:cs="Tahoma"/>
          <w:bCs/>
          <w:color w:val="000000"/>
          <w:szCs w:val="24"/>
        </w:rPr>
      </w:pPr>
    </w:p>
    <w:p w:rsidR="000C51B2" w:rsidRPr="000C51B2" w:rsidRDefault="000C51B2" w:rsidP="000C51B2">
      <w:pPr>
        <w:spacing w:after="0" w:line="240" w:lineRule="auto"/>
      </w:pPr>
      <w:r w:rsidRPr="000C51B2">
        <w:rPr>
          <w:b/>
          <w:bCs/>
        </w:rPr>
        <w:t>DRAFT initial MOU</w:t>
      </w:r>
    </w:p>
    <w:p w:rsidR="000C51B2" w:rsidRPr="000C51B2" w:rsidRDefault="000C51B2" w:rsidP="000C51B2">
      <w:pPr>
        <w:spacing w:after="0" w:line="240" w:lineRule="auto"/>
      </w:pPr>
    </w:p>
    <w:p w:rsidR="000C51B2" w:rsidRPr="000C51B2" w:rsidRDefault="000C51B2" w:rsidP="000C51B2">
      <w:pPr>
        <w:spacing w:after="0" w:line="240" w:lineRule="auto"/>
      </w:pPr>
      <w:r w:rsidRPr="000C51B2">
        <w:t xml:space="preserve">[inset here the </w:t>
      </w:r>
      <w:proofErr w:type="spellStart"/>
      <w:r w:rsidRPr="000C51B2">
        <w:t>whereases</w:t>
      </w:r>
      <w:proofErr w:type="spellEnd"/>
      <w:r w:rsidRPr="000C51B2">
        <w:t xml:space="preserve"> and so forth]</w:t>
      </w:r>
    </w:p>
    <w:p w:rsidR="000C51B2" w:rsidRPr="000C51B2" w:rsidRDefault="000C51B2" w:rsidP="000C51B2">
      <w:pPr>
        <w:spacing w:after="0" w:line="240" w:lineRule="auto"/>
      </w:pPr>
    </w:p>
    <w:p w:rsidR="000C51B2" w:rsidRPr="000C51B2" w:rsidRDefault="000C51B2" w:rsidP="000C51B2">
      <w:pPr>
        <w:spacing w:after="0" w:line="240" w:lineRule="auto"/>
      </w:pPr>
      <w:r w:rsidRPr="000C51B2">
        <w:t>Therefore, the parties agree to this Memorandum of Understanding to create an early retirement incentive for the ____ bargaining unit, subject to the following conditions:</w:t>
      </w:r>
    </w:p>
    <w:p w:rsidR="000C51B2" w:rsidRPr="000C51B2" w:rsidRDefault="000C51B2" w:rsidP="000C51B2">
      <w:pPr>
        <w:spacing w:after="0" w:line="240" w:lineRule="auto"/>
      </w:pPr>
    </w:p>
    <w:p w:rsidR="000C51B2" w:rsidRPr="000C51B2" w:rsidRDefault="000C51B2" w:rsidP="000C51B2">
      <w:pPr>
        <w:spacing w:after="0" w:line="240" w:lineRule="auto"/>
      </w:pPr>
      <w:r w:rsidRPr="000C51B2">
        <w:t>Appointing Authorities may, at their discretion, elect to participate in and offer an Early Retirement Incentive (ERI) subject to the eligibility criteria identified below. The incentive shall consist of One Thousand ($1,000) per complete year of service, capped at $30,000. The incentive shall be paid in a lump sum into an employee’s Health Care Savings Account. MMB will review and approve any Agency’s Plan before the incentive is made available to employees.</w:t>
      </w:r>
    </w:p>
    <w:p w:rsidR="000C51B2" w:rsidRPr="000C51B2" w:rsidRDefault="000C51B2" w:rsidP="000C51B2">
      <w:pPr>
        <w:spacing w:after="0" w:line="240" w:lineRule="auto"/>
      </w:pPr>
    </w:p>
    <w:p w:rsidR="000C51B2" w:rsidRPr="000C51B2" w:rsidRDefault="000C51B2" w:rsidP="000C51B2">
      <w:pPr>
        <w:spacing w:after="0" w:line="240" w:lineRule="auto"/>
      </w:pPr>
      <w:r w:rsidRPr="000C51B2">
        <w:t xml:space="preserve">Eligibility requirements include that an Employee must: </w:t>
      </w:r>
    </w:p>
    <w:p w:rsidR="000C51B2" w:rsidRPr="000C51B2" w:rsidRDefault="000C51B2" w:rsidP="000C51B2">
      <w:pPr>
        <w:spacing w:after="0" w:line="240" w:lineRule="auto"/>
      </w:pPr>
    </w:p>
    <w:p w:rsidR="000C51B2" w:rsidRPr="000C51B2" w:rsidRDefault="000C51B2" w:rsidP="000C51B2">
      <w:pPr>
        <w:numPr>
          <w:ilvl w:val="0"/>
          <w:numId w:val="13"/>
        </w:numPr>
        <w:spacing w:after="0" w:line="240" w:lineRule="auto"/>
        <w:contextualSpacing/>
      </w:pPr>
      <w:r w:rsidRPr="000C51B2">
        <w:t>Be immediately entitled at the time of separation to receive an annuity under a State retirement program; and,</w:t>
      </w:r>
    </w:p>
    <w:p w:rsidR="000C51B2" w:rsidRPr="000C51B2" w:rsidRDefault="000C51B2" w:rsidP="000C51B2">
      <w:pPr>
        <w:numPr>
          <w:ilvl w:val="0"/>
          <w:numId w:val="13"/>
        </w:numPr>
        <w:spacing w:after="0" w:line="240" w:lineRule="auto"/>
        <w:contextualSpacing/>
      </w:pPr>
      <w:r w:rsidRPr="000C51B2">
        <w:t>Be in a classified appointment (unclassified appointments require approval of MMB); and,</w:t>
      </w:r>
    </w:p>
    <w:p w:rsidR="000C51B2" w:rsidRPr="000C51B2" w:rsidRDefault="000C51B2" w:rsidP="000C51B2">
      <w:pPr>
        <w:numPr>
          <w:ilvl w:val="0"/>
          <w:numId w:val="13"/>
        </w:numPr>
        <w:spacing w:after="0" w:line="240" w:lineRule="auto"/>
        <w:contextualSpacing/>
      </w:pPr>
      <w:r w:rsidRPr="000C51B2">
        <w:t>Not be eligible for any other early retirement incentive, and;</w:t>
      </w:r>
    </w:p>
    <w:p w:rsidR="000C51B2" w:rsidRPr="000C51B2" w:rsidRDefault="000C51B2" w:rsidP="000C51B2">
      <w:pPr>
        <w:numPr>
          <w:ilvl w:val="0"/>
          <w:numId w:val="13"/>
        </w:numPr>
        <w:spacing w:after="0" w:line="240" w:lineRule="auto"/>
        <w:contextualSpacing/>
      </w:pPr>
      <w:r w:rsidRPr="000C51B2">
        <w:t>Have at least five years of continuous service at the time of separation; and,</w:t>
      </w:r>
    </w:p>
    <w:p w:rsidR="000C51B2" w:rsidRPr="000C51B2" w:rsidRDefault="000C51B2" w:rsidP="000C51B2">
      <w:pPr>
        <w:numPr>
          <w:ilvl w:val="0"/>
          <w:numId w:val="13"/>
        </w:numPr>
        <w:spacing w:after="0" w:line="240" w:lineRule="auto"/>
        <w:contextualSpacing/>
      </w:pPr>
      <w:r w:rsidRPr="000C51B2">
        <w:t>Be employed in programs that are being permanently eliminated or reduced OR in a position that could be left vacant for one year or more.  (The determination of eligibility by program area or position is vested in the Appointing Authority, not an employee); and,</w:t>
      </w:r>
    </w:p>
    <w:p w:rsidR="000C51B2" w:rsidRPr="000C51B2" w:rsidRDefault="000C51B2" w:rsidP="000C51B2">
      <w:pPr>
        <w:numPr>
          <w:ilvl w:val="0"/>
          <w:numId w:val="13"/>
        </w:numPr>
        <w:spacing w:after="0" w:line="240" w:lineRule="auto"/>
        <w:contextualSpacing/>
      </w:pPr>
      <w:r w:rsidRPr="000C51B2">
        <w:t>Retire on or before March 31, 2021 unless MMB, at its sole discretion, extends this timeline or permits an additional window of eligibility.</w:t>
      </w:r>
    </w:p>
    <w:p w:rsidR="000C51B2" w:rsidRPr="000C51B2" w:rsidRDefault="000C51B2" w:rsidP="000C51B2">
      <w:pPr>
        <w:spacing w:after="0" w:line="240" w:lineRule="auto"/>
      </w:pPr>
    </w:p>
    <w:p w:rsidR="000C51B2" w:rsidRDefault="000C51B2" w:rsidP="000C51B2">
      <w:pPr>
        <w:spacing w:after="0" w:line="240" w:lineRule="auto"/>
      </w:pPr>
      <w:r w:rsidRPr="000C51B2">
        <w:t>Any employee who receives an ERI may not rejoin State Service in a Classified Appointment for at least one year after separation.  At the discretion of the appointing authority, employees may return into a Post-Retirement (PRO) appointment of limited duration for knowledge transfer after receipt of an ERI.</w:t>
      </w:r>
    </w:p>
    <w:p w:rsidR="000C51B2" w:rsidRPr="000C51B2" w:rsidRDefault="000C51B2" w:rsidP="000C51B2">
      <w:pPr>
        <w:spacing w:after="0" w:line="240" w:lineRule="auto"/>
      </w:pPr>
    </w:p>
    <w:p w:rsidR="000C51B2" w:rsidRPr="000C51B2" w:rsidRDefault="000C51B2" w:rsidP="000C51B2">
      <w:pPr>
        <w:spacing w:after="0" w:line="240" w:lineRule="auto"/>
      </w:pPr>
      <w:r w:rsidRPr="000C51B2">
        <w:rPr>
          <w:b/>
          <w:bCs/>
        </w:rPr>
        <w:t xml:space="preserve">DRAFT initial MOU – CERP/State Patrol </w:t>
      </w:r>
    </w:p>
    <w:p w:rsidR="000C51B2" w:rsidRPr="000C51B2" w:rsidRDefault="000C51B2" w:rsidP="000C51B2">
      <w:pPr>
        <w:spacing w:after="0" w:line="240" w:lineRule="auto"/>
      </w:pPr>
    </w:p>
    <w:p w:rsidR="000C51B2" w:rsidRPr="000C51B2" w:rsidRDefault="000C51B2" w:rsidP="000C51B2">
      <w:pPr>
        <w:spacing w:after="0" w:line="240" w:lineRule="auto"/>
      </w:pPr>
      <w:r w:rsidRPr="000C51B2">
        <w:t xml:space="preserve">[inset here the </w:t>
      </w:r>
      <w:proofErr w:type="spellStart"/>
      <w:r w:rsidRPr="000C51B2">
        <w:t>whereases</w:t>
      </w:r>
      <w:proofErr w:type="spellEnd"/>
      <w:r w:rsidRPr="000C51B2">
        <w:t xml:space="preserve"> and so forth]</w:t>
      </w:r>
    </w:p>
    <w:p w:rsidR="000C51B2" w:rsidRPr="000C51B2" w:rsidRDefault="000C51B2" w:rsidP="000C51B2">
      <w:pPr>
        <w:spacing w:after="0" w:line="240" w:lineRule="auto"/>
      </w:pPr>
    </w:p>
    <w:p w:rsidR="000C51B2" w:rsidRPr="000C51B2" w:rsidRDefault="000C51B2" w:rsidP="000C51B2">
      <w:pPr>
        <w:spacing w:after="0" w:line="240" w:lineRule="auto"/>
      </w:pPr>
      <w:r w:rsidRPr="000C51B2">
        <w:t>Therefore, the parties agree to this Memorandum of Understanding to create an early retirement incentive for certain members of the ____ bargaining unit, subject to the following conditions:</w:t>
      </w:r>
    </w:p>
    <w:p w:rsidR="000C51B2" w:rsidRPr="000C51B2" w:rsidRDefault="000C51B2" w:rsidP="000C51B2">
      <w:pPr>
        <w:spacing w:after="0" w:line="240" w:lineRule="auto"/>
      </w:pPr>
    </w:p>
    <w:p w:rsidR="000C51B2" w:rsidRPr="000C51B2" w:rsidRDefault="000C51B2" w:rsidP="000C51B2">
      <w:pPr>
        <w:spacing w:after="0" w:line="240" w:lineRule="auto"/>
      </w:pPr>
      <w:r w:rsidRPr="000C51B2">
        <w:t>Appointing Authorities may, at their discretion, elect to participate in and offer an Early Retirement Incentive (ERI) subject to the eligibility criteria identified below to employees who are otherwise eligible for an Early Retirement Incentive such as the Corrections ___ (CERP) or the State Patrol ___.</w:t>
      </w:r>
    </w:p>
    <w:p w:rsidR="000C51B2" w:rsidRPr="000C51B2" w:rsidRDefault="000C51B2" w:rsidP="000C51B2">
      <w:pPr>
        <w:spacing w:after="0" w:line="240" w:lineRule="auto"/>
      </w:pPr>
    </w:p>
    <w:p w:rsidR="000C51B2" w:rsidRPr="000C51B2" w:rsidRDefault="000C51B2" w:rsidP="000C51B2">
      <w:pPr>
        <w:spacing w:after="0" w:line="240" w:lineRule="auto"/>
      </w:pPr>
      <w:r w:rsidRPr="000C51B2">
        <w:t>The incentive shall consist of a single payment of Fifteen Thousand ($15,000). The incentive shall be paid in a lump sum into an employee’s Health Care Savings Account. MMB will review and approve any Agency’s Plan before the incentive is made available to employees.</w:t>
      </w:r>
    </w:p>
    <w:p w:rsidR="000C51B2" w:rsidRPr="000C51B2" w:rsidRDefault="000C51B2" w:rsidP="000C51B2">
      <w:pPr>
        <w:spacing w:after="0" w:line="240" w:lineRule="auto"/>
      </w:pPr>
    </w:p>
    <w:p w:rsidR="000C51B2" w:rsidRPr="000C51B2" w:rsidRDefault="000C51B2" w:rsidP="000C51B2">
      <w:pPr>
        <w:spacing w:after="0" w:line="240" w:lineRule="auto"/>
      </w:pPr>
      <w:r w:rsidRPr="000C51B2">
        <w:t xml:space="preserve">Eligibility requirements include that an Employee must: </w:t>
      </w:r>
    </w:p>
    <w:p w:rsidR="000C51B2" w:rsidRPr="000C51B2" w:rsidRDefault="000C51B2" w:rsidP="000C51B2">
      <w:pPr>
        <w:spacing w:after="0" w:line="240" w:lineRule="auto"/>
      </w:pPr>
    </w:p>
    <w:p w:rsidR="000C51B2" w:rsidRPr="000C51B2" w:rsidRDefault="000C51B2" w:rsidP="000C51B2">
      <w:pPr>
        <w:numPr>
          <w:ilvl w:val="0"/>
          <w:numId w:val="14"/>
        </w:numPr>
        <w:spacing w:after="0" w:line="240" w:lineRule="auto"/>
        <w:contextualSpacing/>
      </w:pPr>
      <w:r w:rsidRPr="000C51B2">
        <w:t>Be immediately entitled at the time of separation for early retirement pursuant to the provisions of their collective bargaining agreement; and,</w:t>
      </w:r>
    </w:p>
    <w:p w:rsidR="000C51B2" w:rsidRPr="000C51B2" w:rsidRDefault="000C51B2" w:rsidP="000C51B2">
      <w:pPr>
        <w:numPr>
          <w:ilvl w:val="0"/>
          <w:numId w:val="14"/>
        </w:numPr>
        <w:spacing w:after="0" w:line="240" w:lineRule="auto"/>
        <w:contextualSpacing/>
      </w:pPr>
      <w:r w:rsidRPr="000C51B2">
        <w:t>Be between the ages of 50 and 54 years, 11 months, and;</w:t>
      </w:r>
    </w:p>
    <w:p w:rsidR="000C51B2" w:rsidRPr="000C51B2" w:rsidRDefault="000C51B2" w:rsidP="000C51B2">
      <w:pPr>
        <w:numPr>
          <w:ilvl w:val="0"/>
          <w:numId w:val="14"/>
        </w:numPr>
        <w:spacing w:after="0" w:line="240" w:lineRule="auto"/>
        <w:contextualSpacing/>
      </w:pPr>
      <w:r w:rsidRPr="000C51B2">
        <w:t>Have at least five years of continuous service at the time of separation; and,</w:t>
      </w:r>
    </w:p>
    <w:p w:rsidR="000C51B2" w:rsidRPr="000C51B2" w:rsidRDefault="000C51B2" w:rsidP="000C51B2">
      <w:pPr>
        <w:numPr>
          <w:ilvl w:val="0"/>
          <w:numId w:val="14"/>
        </w:numPr>
        <w:spacing w:after="0" w:line="240" w:lineRule="auto"/>
        <w:contextualSpacing/>
      </w:pPr>
      <w:r w:rsidRPr="000C51B2">
        <w:t>Retire on or before March 31, 2021 unless MMB, at its sole discretion, extends this timeline or permits an additional window of eligibility.</w:t>
      </w:r>
    </w:p>
    <w:p w:rsidR="000C51B2" w:rsidRPr="000C51B2" w:rsidRDefault="000C51B2" w:rsidP="000C51B2">
      <w:pPr>
        <w:spacing w:after="0" w:line="240" w:lineRule="auto"/>
      </w:pPr>
    </w:p>
    <w:p w:rsidR="000C51B2" w:rsidRPr="000C51B2" w:rsidRDefault="000C51B2" w:rsidP="000C51B2">
      <w:pPr>
        <w:spacing w:after="0" w:line="240" w:lineRule="auto"/>
      </w:pPr>
      <w:r w:rsidRPr="000C51B2">
        <w:t>Any employee who receives an ERI cash payment pursuant to this MOU and who also meets the eligibility requirement for benefits under the relevant articles for early retirement under Article __ remains entitled to receive those benefits. Any employee who accepts an ERI cash payment may not rejoin State Service in a Classified Appointment for at least one year after separation.  At the discretion of the appointing authority, employees may return into a Post-Retirement (PRO) appointment of limited duration for knowledge transfer after receipt of an ERI.</w:t>
      </w:r>
    </w:p>
    <w:p w:rsidR="000C51B2" w:rsidRPr="000C51B2" w:rsidRDefault="000C51B2" w:rsidP="000C51B2">
      <w:pPr>
        <w:spacing w:after="0" w:line="240" w:lineRule="auto"/>
      </w:pPr>
    </w:p>
    <w:p w:rsidR="000C51B2" w:rsidRDefault="000C51B2" w:rsidP="00427817">
      <w:pPr>
        <w:pStyle w:val="ListParagraph"/>
        <w:spacing w:after="0"/>
        <w:ind w:left="0"/>
        <w:rPr>
          <w:rFonts w:eastAsia="Times New Roman" w:cs="Tahoma"/>
          <w:bCs/>
          <w:color w:val="000000"/>
          <w:szCs w:val="24"/>
        </w:rPr>
      </w:pPr>
    </w:p>
    <w:sectPr w:rsidR="000C51B2" w:rsidSect="004661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608" w:rsidRDefault="00031608" w:rsidP="005E640E">
      <w:pPr>
        <w:spacing w:after="0" w:line="240" w:lineRule="auto"/>
      </w:pPr>
      <w:r>
        <w:separator/>
      </w:r>
    </w:p>
  </w:endnote>
  <w:endnote w:type="continuationSeparator" w:id="0">
    <w:p w:rsidR="00031608" w:rsidRDefault="00031608" w:rsidP="005E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0E" w:rsidRDefault="005E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0E" w:rsidRDefault="005E64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0E" w:rsidRDefault="005E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608" w:rsidRDefault="00031608" w:rsidP="005E640E">
      <w:pPr>
        <w:spacing w:after="0" w:line="240" w:lineRule="auto"/>
      </w:pPr>
      <w:r>
        <w:separator/>
      </w:r>
    </w:p>
  </w:footnote>
  <w:footnote w:type="continuationSeparator" w:id="0">
    <w:p w:rsidR="00031608" w:rsidRDefault="00031608" w:rsidP="005E6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0E" w:rsidRDefault="005E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0E" w:rsidRDefault="005E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0E" w:rsidRDefault="005E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0A1F"/>
    <w:multiLevelType w:val="hybridMultilevel"/>
    <w:tmpl w:val="F8F451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E5C0E"/>
    <w:multiLevelType w:val="hybridMultilevel"/>
    <w:tmpl w:val="4AB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E5772"/>
    <w:multiLevelType w:val="hybridMultilevel"/>
    <w:tmpl w:val="6F9E855C"/>
    <w:lvl w:ilvl="0" w:tplc="65607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D130A"/>
    <w:multiLevelType w:val="hybridMultilevel"/>
    <w:tmpl w:val="1EA4BAD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EE797C"/>
    <w:multiLevelType w:val="hybridMultilevel"/>
    <w:tmpl w:val="1A1850FA"/>
    <w:lvl w:ilvl="0" w:tplc="062C4766">
      <w:start w:val="1"/>
      <w:numFmt w:val="decimal"/>
      <w:lvlText w:val="%1)"/>
      <w:lvlJc w:val="left"/>
      <w:pPr>
        <w:ind w:left="720" w:hanging="360"/>
      </w:pPr>
      <w:rPr>
        <w:rFonts w:ascii="Georgia" w:eastAsiaTheme="minorHAnsi" w:hAnsi="Georgi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909E6"/>
    <w:multiLevelType w:val="hybridMultilevel"/>
    <w:tmpl w:val="97F2B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91713"/>
    <w:multiLevelType w:val="hybridMultilevel"/>
    <w:tmpl w:val="1A1850FA"/>
    <w:lvl w:ilvl="0" w:tplc="062C4766">
      <w:start w:val="1"/>
      <w:numFmt w:val="decimal"/>
      <w:lvlText w:val="%1)"/>
      <w:lvlJc w:val="left"/>
      <w:pPr>
        <w:ind w:left="720" w:hanging="360"/>
      </w:pPr>
      <w:rPr>
        <w:rFonts w:ascii="Georgia" w:eastAsiaTheme="minorHAnsi" w:hAnsi="Georgi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81642"/>
    <w:multiLevelType w:val="hybridMultilevel"/>
    <w:tmpl w:val="6F9E855C"/>
    <w:lvl w:ilvl="0" w:tplc="65607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04117"/>
    <w:multiLevelType w:val="hybridMultilevel"/>
    <w:tmpl w:val="8C7C0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8391A"/>
    <w:multiLevelType w:val="hybridMultilevel"/>
    <w:tmpl w:val="FA566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90C3D"/>
    <w:multiLevelType w:val="hybridMultilevel"/>
    <w:tmpl w:val="F214833E"/>
    <w:lvl w:ilvl="0" w:tplc="12524D0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A941D0"/>
    <w:multiLevelType w:val="hybridMultilevel"/>
    <w:tmpl w:val="92D0A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F80BFD"/>
    <w:multiLevelType w:val="hybridMultilevel"/>
    <w:tmpl w:val="3EC81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C36ADB"/>
    <w:multiLevelType w:val="hybridMultilevel"/>
    <w:tmpl w:val="89726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10"/>
  </w:num>
  <w:num w:numId="4">
    <w:abstractNumId w:val="2"/>
  </w:num>
  <w:num w:numId="5">
    <w:abstractNumId w:val="7"/>
  </w:num>
  <w:num w:numId="6">
    <w:abstractNumId w:val="9"/>
  </w:num>
  <w:num w:numId="7">
    <w:abstractNumId w:val="8"/>
  </w:num>
  <w:num w:numId="8">
    <w:abstractNumId w:val="5"/>
  </w:num>
  <w:num w:numId="9">
    <w:abstractNumId w:val="3"/>
  </w:num>
  <w:num w:numId="10">
    <w:abstractNumId w:val="0"/>
  </w:num>
  <w:num w:numId="11">
    <w:abstractNumId w:val="12"/>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12"/>
    <w:rsid w:val="00003DC3"/>
    <w:rsid w:val="00027862"/>
    <w:rsid w:val="00031608"/>
    <w:rsid w:val="00047E92"/>
    <w:rsid w:val="00067FED"/>
    <w:rsid w:val="00072520"/>
    <w:rsid w:val="00076D88"/>
    <w:rsid w:val="00084B91"/>
    <w:rsid w:val="000943BA"/>
    <w:rsid w:val="000A70DA"/>
    <w:rsid w:val="000A7CD9"/>
    <w:rsid w:val="000B1101"/>
    <w:rsid w:val="000C51B2"/>
    <w:rsid w:val="000E57EA"/>
    <w:rsid w:val="00110A7A"/>
    <w:rsid w:val="00111969"/>
    <w:rsid w:val="00127350"/>
    <w:rsid w:val="00145995"/>
    <w:rsid w:val="001459A2"/>
    <w:rsid w:val="001467D2"/>
    <w:rsid w:val="00184CE6"/>
    <w:rsid w:val="001923FE"/>
    <w:rsid w:val="00192CF7"/>
    <w:rsid w:val="0019709C"/>
    <w:rsid w:val="001A2CF1"/>
    <w:rsid w:val="001A4999"/>
    <w:rsid w:val="001B08B3"/>
    <w:rsid w:val="001B3312"/>
    <w:rsid w:val="001C5569"/>
    <w:rsid w:val="001E67D0"/>
    <w:rsid w:val="002024FA"/>
    <w:rsid w:val="00207688"/>
    <w:rsid w:val="00213389"/>
    <w:rsid w:val="00214D5D"/>
    <w:rsid w:val="00232CF0"/>
    <w:rsid w:val="00235AEF"/>
    <w:rsid w:val="00240028"/>
    <w:rsid w:val="0024745F"/>
    <w:rsid w:val="00252048"/>
    <w:rsid w:val="002A6149"/>
    <w:rsid w:val="002B6782"/>
    <w:rsid w:val="002E2F18"/>
    <w:rsid w:val="00301362"/>
    <w:rsid w:val="00314785"/>
    <w:rsid w:val="00320520"/>
    <w:rsid w:val="003307A5"/>
    <w:rsid w:val="00336BF7"/>
    <w:rsid w:val="0034234A"/>
    <w:rsid w:val="00342E66"/>
    <w:rsid w:val="00360B37"/>
    <w:rsid w:val="00376463"/>
    <w:rsid w:val="003922AF"/>
    <w:rsid w:val="003955BD"/>
    <w:rsid w:val="003A0268"/>
    <w:rsid w:val="003A3D59"/>
    <w:rsid w:val="003A5B3C"/>
    <w:rsid w:val="003B050A"/>
    <w:rsid w:val="003B1625"/>
    <w:rsid w:val="003D2D6D"/>
    <w:rsid w:val="003D718B"/>
    <w:rsid w:val="003E0723"/>
    <w:rsid w:val="003E1783"/>
    <w:rsid w:val="003E1E91"/>
    <w:rsid w:val="003E622F"/>
    <w:rsid w:val="00414F8C"/>
    <w:rsid w:val="00427817"/>
    <w:rsid w:val="00431AD5"/>
    <w:rsid w:val="00444795"/>
    <w:rsid w:val="004516A7"/>
    <w:rsid w:val="00454E7A"/>
    <w:rsid w:val="0046618A"/>
    <w:rsid w:val="004C041C"/>
    <w:rsid w:val="004C065D"/>
    <w:rsid w:val="004C5910"/>
    <w:rsid w:val="004D4B33"/>
    <w:rsid w:val="004E5DE1"/>
    <w:rsid w:val="004F3AB9"/>
    <w:rsid w:val="00515638"/>
    <w:rsid w:val="00521C6E"/>
    <w:rsid w:val="00524379"/>
    <w:rsid w:val="00526153"/>
    <w:rsid w:val="00534547"/>
    <w:rsid w:val="00547A71"/>
    <w:rsid w:val="00565D3A"/>
    <w:rsid w:val="00566495"/>
    <w:rsid w:val="00572763"/>
    <w:rsid w:val="0057336C"/>
    <w:rsid w:val="005744ED"/>
    <w:rsid w:val="005843BA"/>
    <w:rsid w:val="005B0E59"/>
    <w:rsid w:val="005B4E7D"/>
    <w:rsid w:val="005C23E4"/>
    <w:rsid w:val="005E3D57"/>
    <w:rsid w:val="005E640E"/>
    <w:rsid w:val="0060056F"/>
    <w:rsid w:val="00604F6E"/>
    <w:rsid w:val="006132BD"/>
    <w:rsid w:val="00621DB5"/>
    <w:rsid w:val="006267E4"/>
    <w:rsid w:val="00636CA6"/>
    <w:rsid w:val="00637CB5"/>
    <w:rsid w:val="00666AB8"/>
    <w:rsid w:val="00674DF7"/>
    <w:rsid w:val="00680881"/>
    <w:rsid w:val="00683596"/>
    <w:rsid w:val="006847B2"/>
    <w:rsid w:val="006939C9"/>
    <w:rsid w:val="006941FE"/>
    <w:rsid w:val="006A782C"/>
    <w:rsid w:val="006B386D"/>
    <w:rsid w:val="006B3DD6"/>
    <w:rsid w:val="006B5952"/>
    <w:rsid w:val="006B5A24"/>
    <w:rsid w:val="006C1412"/>
    <w:rsid w:val="006C14D1"/>
    <w:rsid w:val="006C2567"/>
    <w:rsid w:val="006C6D06"/>
    <w:rsid w:val="006E2E93"/>
    <w:rsid w:val="00702033"/>
    <w:rsid w:val="00703D21"/>
    <w:rsid w:val="00704EC1"/>
    <w:rsid w:val="00715E9D"/>
    <w:rsid w:val="00716F70"/>
    <w:rsid w:val="0073311C"/>
    <w:rsid w:val="00736C38"/>
    <w:rsid w:val="00745C3B"/>
    <w:rsid w:val="00795686"/>
    <w:rsid w:val="007962C7"/>
    <w:rsid w:val="007A46E1"/>
    <w:rsid w:val="007B0047"/>
    <w:rsid w:val="007B468A"/>
    <w:rsid w:val="007D0A93"/>
    <w:rsid w:val="007D4AB6"/>
    <w:rsid w:val="007F13CE"/>
    <w:rsid w:val="007F18A0"/>
    <w:rsid w:val="00800F0A"/>
    <w:rsid w:val="00837A54"/>
    <w:rsid w:val="008444CD"/>
    <w:rsid w:val="00845ADB"/>
    <w:rsid w:val="00851FD8"/>
    <w:rsid w:val="0085350B"/>
    <w:rsid w:val="00866794"/>
    <w:rsid w:val="008814C1"/>
    <w:rsid w:val="00897AF5"/>
    <w:rsid w:val="008C74AC"/>
    <w:rsid w:val="008E11DA"/>
    <w:rsid w:val="0090180D"/>
    <w:rsid w:val="00902FB8"/>
    <w:rsid w:val="00955A7E"/>
    <w:rsid w:val="00962325"/>
    <w:rsid w:val="00982C7E"/>
    <w:rsid w:val="009841F5"/>
    <w:rsid w:val="00995841"/>
    <w:rsid w:val="00997348"/>
    <w:rsid w:val="009974C5"/>
    <w:rsid w:val="009A3304"/>
    <w:rsid w:val="009B36DE"/>
    <w:rsid w:val="009C5CF6"/>
    <w:rsid w:val="009E58DF"/>
    <w:rsid w:val="009F6201"/>
    <w:rsid w:val="00A01446"/>
    <w:rsid w:val="00A056B9"/>
    <w:rsid w:val="00A1183D"/>
    <w:rsid w:val="00A12AD0"/>
    <w:rsid w:val="00A378A6"/>
    <w:rsid w:val="00A46942"/>
    <w:rsid w:val="00A66107"/>
    <w:rsid w:val="00A672B1"/>
    <w:rsid w:val="00A804DE"/>
    <w:rsid w:val="00AD1A92"/>
    <w:rsid w:val="00AD5E81"/>
    <w:rsid w:val="00AD7F0E"/>
    <w:rsid w:val="00AE0398"/>
    <w:rsid w:val="00AF7029"/>
    <w:rsid w:val="00B044B7"/>
    <w:rsid w:val="00B07BC9"/>
    <w:rsid w:val="00B10D50"/>
    <w:rsid w:val="00B262E7"/>
    <w:rsid w:val="00B35D7E"/>
    <w:rsid w:val="00B36B4E"/>
    <w:rsid w:val="00B95612"/>
    <w:rsid w:val="00BA1A0B"/>
    <w:rsid w:val="00BA7B3B"/>
    <w:rsid w:val="00BD6520"/>
    <w:rsid w:val="00BD6DF4"/>
    <w:rsid w:val="00BF6E3B"/>
    <w:rsid w:val="00C13511"/>
    <w:rsid w:val="00C14950"/>
    <w:rsid w:val="00C25B2C"/>
    <w:rsid w:val="00C3019C"/>
    <w:rsid w:val="00C31808"/>
    <w:rsid w:val="00C42C04"/>
    <w:rsid w:val="00C51507"/>
    <w:rsid w:val="00CA10E9"/>
    <w:rsid w:val="00CA3A2F"/>
    <w:rsid w:val="00CB4D07"/>
    <w:rsid w:val="00CC151A"/>
    <w:rsid w:val="00CC3119"/>
    <w:rsid w:val="00CD118D"/>
    <w:rsid w:val="00CE0F87"/>
    <w:rsid w:val="00CE26DE"/>
    <w:rsid w:val="00CE4AD8"/>
    <w:rsid w:val="00CE4CA1"/>
    <w:rsid w:val="00CE4F8A"/>
    <w:rsid w:val="00CE7F16"/>
    <w:rsid w:val="00D0236F"/>
    <w:rsid w:val="00D2675A"/>
    <w:rsid w:val="00D35276"/>
    <w:rsid w:val="00D4097E"/>
    <w:rsid w:val="00D43C16"/>
    <w:rsid w:val="00D46921"/>
    <w:rsid w:val="00D5060E"/>
    <w:rsid w:val="00D64927"/>
    <w:rsid w:val="00D718C8"/>
    <w:rsid w:val="00D71B75"/>
    <w:rsid w:val="00D90F55"/>
    <w:rsid w:val="00D9407A"/>
    <w:rsid w:val="00DA5A69"/>
    <w:rsid w:val="00DF06FF"/>
    <w:rsid w:val="00DF0E32"/>
    <w:rsid w:val="00E0290F"/>
    <w:rsid w:val="00E07B1C"/>
    <w:rsid w:val="00E13F2D"/>
    <w:rsid w:val="00E149A4"/>
    <w:rsid w:val="00E16CBD"/>
    <w:rsid w:val="00E2566B"/>
    <w:rsid w:val="00E57925"/>
    <w:rsid w:val="00E67399"/>
    <w:rsid w:val="00E75744"/>
    <w:rsid w:val="00E81981"/>
    <w:rsid w:val="00EC52EA"/>
    <w:rsid w:val="00ED0A60"/>
    <w:rsid w:val="00ED3A0B"/>
    <w:rsid w:val="00EF5A99"/>
    <w:rsid w:val="00F0573F"/>
    <w:rsid w:val="00F272E3"/>
    <w:rsid w:val="00F27C0C"/>
    <w:rsid w:val="00F42E46"/>
    <w:rsid w:val="00F45DEF"/>
    <w:rsid w:val="00F52C93"/>
    <w:rsid w:val="00F536FF"/>
    <w:rsid w:val="00F63905"/>
    <w:rsid w:val="00F71315"/>
    <w:rsid w:val="00F8102F"/>
    <w:rsid w:val="00F90EB8"/>
    <w:rsid w:val="00FA36C7"/>
    <w:rsid w:val="00FB1AF0"/>
    <w:rsid w:val="00FC03EF"/>
    <w:rsid w:val="00FD32E3"/>
    <w:rsid w:val="00FD4A19"/>
    <w:rsid w:val="00FE0634"/>
    <w:rsid w:val="00FE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50D0D0-AC6D-4845-B7C8-319022E2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C7E"/>
    <w:pPr>
      <w:spacing w:after="200" w:line="276" w:lineRule="auto"/>
    </w:pPr>
    <w:rPr>
      <w:rFonts w:ascii="Georgia" w:hAnsi="Georgia"/>
      <w:szCs w:val="22"/>
    </w:rPr>
  </w:style>
  <w:style w:type="paragraph" w:styleId="Heading1">
    <w:name w:val="heading 1"/>
    <w:basedOn w:val="Normal"/>
    <w:next w:val="Normal"/>
    <w:link w:val="Heading1Char"/>
    <w:uiPriority w:val="9"/>
    <w:qFormat/>
    <w:rsid w:val="00982C7E"/>
    <w:pPr>
      <w:keepNext/>
      <w:keepLines/>
      <w:spacing w:before="240" w:after="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27817"/>
    <w:pPr>
      <w:keepNext/>
      <w:keepLines/>
      <w:spacing w:before="40" w:after="0"/>
      <w:jc w:val="center"/>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412"/>
    <w:rPr>
      <w:sz w:val="22"/>
      <w:szCs w:val="22"/>
    </w:rPr>
  </w:style>
  <w:style w:type="character" w:styleId="Hyperlink">
    <w:name w:val="Hyperlink"/>
    <w:basedOn w:val="DefaultParagraphFont"/>
    <w:uiPriority w:val="99"/>
    <w:unhideWhenUsed/>
    <w:rsid w:val="006C1412"/>
    <w:rPr>
      <w:color w:val="0563C1" w:themeColor="hyperlink"/>
      <w:u w:val="single"/>
    </w:rPr>
  </w:style>
  <w:style w:type="character" w:styleId="UnresolvedMention">
    <w:name w:val="Unresolved Mention"/>
    <w:basedOn w:val="DefaultParagraphFont"/>
    <w:uiPriority w:val="99"/>
    <w:semiHidden/>
    <w:unhideWhenUsed/>
    <w:rsid w:val="006C1412"/>
    <w:rPr>
      <w:color w:val="605E5C"/>
      <w:shd w:val="clear" w:color="auto" w:fill="E1DFDD"/>
    </w:rPr>
  </w:style>
  <w:style w:type="paragraph" w:styleId="ListParagraph">
    <w:name w:val="List Paragraph"/>
    <w:basedOn w:val="Normal"/>
    <w:uiPriority w:val="34"/>
    <w:qFormat/>
    <w:rsid w:val="006C1412"/>
    <w:pPr>
      <w:ind w:left="720"/>
      <w:contextualSpacing/>
    </w:pPr>
  </w:style>
  <w:style w:type="character" w:styleId="FollowedHyperlink">
    <w:name w:val="FollowedHyperlink"/>
    <w:basedOn w:val="DefaultParagraphFont"/>
    <w:uiPriority w:val="99"/>
    <w:semiHidden/>
    <w:unhideWhenUsed/>
    <w:rsid w:val="00565D3A"/>
    <w:rPr>
      <w:color w:val="954F72" w:themeColor="followedHyperlink"/>
      <w:u w:val="single"/>
    </w:rPr>
  </w:style>
  <w:style w:type="character" w:customStyle="1" w:styleId="Heading2Char">
    <w:name w:val="Heading 2 Char"/>
    <w:basedOn w:val="DefaultParagraphFont"/>
    <w:link w:val="Heading2"/>
    <w:uiPriority w:val="9"/>
    <w:rsid w:val="00427817"/>
    <w:rPr>
      <w:rFonts w:ascii="Georgia" w:eastAsiaTheme="majorEastAsia" w:hAnsi="Georgia" w:cstheme="majorBidi"/>
      <w:b/>
      <w:sz w:val="28"/>
      <w:szCs w:val="26"/>
    </w:rPr>
  </w:style>
  <w:style w:type="character" w:customStyle="1" w:styleId="Heading1Char">
    <w:name w:val="Heading 1 Char"/>
    <w:basedOn w:val="DefaultParagraphFont"/>
    <w:link w:val="Heading1"/>
    <w:uiPriority w:val="9"/>
    <w:rsid w:val="00982C7E"/>
    <w:rPr>
      <w:rFonts w:ascii="Georgia" w:eastAsiaTheme="majorEastAsia" w:hAnsi="Georgia" w:cstheme="majorBidi"/>
      <w:b/>
      <w:color w:val="000000" w:themeColor="text1"/>
      <w:sz w:val="28"/>
      <w:szCs w:val="32"/>
    </w:rPr>
  </w:style>
  <w:style w:type="paragraph" w:styleId="Subtitle">
    <w:name w:val="Subtitle"/>
    <w:basedOn w:val="Normal"/>
    <w:next w:val="Normal"/>
    <w:link w:val="SubtitleChar"/>
    <w:uiPriority w:val="11"/>
    <w:qFormat/>
    <w:rsid w:val="00427817"/>
    <w:pPr>
      <w:numPr>
        <w:ilvl w:val="1"/>
      </w:numPr>
      <w:spacing w:after="160"/>
      <w:jc w:val="center"/>
    </w:pPr>
    <w:rPr>
      <w:rFonts w:eastAsiaTheme="minorEastAsia"/>
      <w:b/>
      <w:spacing w:val="15"/>
      <w:sz w:val="30"/>
    </w:rPr>
  </w:style>
  <w:style w:type="character" w:customStyle="1" w:styleId="SubtitleChar">
    <w:name w:val="Subtitle Char"/>
    <w:basedOn w:val="DefaultParagraphFont"/>
    <w:link w:val="Subtitle"/>
    <w:uiPriority w:val="11"/>
    <w:rsid w:val="00427817"/>
    <w:rPr>
      <w:rFonts w:ascii="Georgia" w:eastAsiaTheme="minorEastAsia" w:hAnsi="Georgia"/>
      <w:b/>
      <w:spacing w:val="15"/>
      <w:sz w:val="30"/>
      <w:szCs w:val="22"/>
    </w:rPr>
  </w:style>
  <w:style w:type="paragraph" w:styleId="Title">
    <w:name w:val="Title"/>
    <w:basedOn w:val="Normal"/>
    <w:next w:val="Normal"/>
    <w:link w:val="TitleChar"/>
    <w:uiPriority w:val="10"/>
    <w:qFormat/>
    <w:rsid w:val="00427817"/>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27817"/>
    <w:rPr>
      <w:rFonts w:ascii="Georgia" w:eastAsiaTheme="majorEastAsia" w:hAnsi="Georgia" w:cstheme="majorBidi"/>
      <w:b/>
      <w:spacing w:val="-10"/>
      <w:kern w:val="28"/>
      <w:sz w:val="36"/>
      <w:szCs w:val="56"/>
    </w:rPr>
  </w:style>
  <w:style w:type="paragraph" w:styleId="Header">
    <w:name w:val="header"/>
    <w:basedOn w:val="Normal"/>
    <w:link w:val="HeaderChar"/>
    <w:uiPriority w:val="99"/>
    <w:unhideWhenUsed/>
    <w:rsid w:val="005E6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40E"/>
    <w:rPr>
      <w:rFonts w:ascii="Georgia" w:hAnsi="Georgia"/>
      <w:szCs w:val="22"/>
    </w:rPr>
  </w:style>
  <w:style w:type="paragraph" w:styleId="Footer">
    <w:name w:val="footer"/>
    <w:basedOn w:val="Normal"/>
    <w:link w:val="FooterChar"/>
    <w:uiPriority w:val="99"/>
    <w:unhideWhenUsed/>
    <w:rsid w:val="005E6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40E"/>
    <w:rPr>
      <w:rFonts w:ascii="Georgia" w:hAnsi="Georg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512968">
      <w:bodyDiv w:val="1"/>
      <w:marLeft w:val="0"/>
      <w:marRight w:val="0"/>
      <w:marTop w:val="0"/>
      <w:marBottom w:val="0"/>
      <w:divBdr>
        <w:top w:val="none" w:sz="0" w:space="0" w:color="auto"/>
        <w:left w:val="none" w:sz="0" w:space="0" w:color="auto"/>
        <w:bottom w:val="none" w:sz="0" w:space="0" w:color="auto"/>
        <w:right w:val="none" w:sz="0" w:space="0" w:color="auto"/>
      </w:divBdr>
      <w:divsChild>
        <w:div w:id="236284540">
          <w:marLeft w:val="0"/>
          <w:marRight w:val="0"/>
          <w:marTop w:val="0"/>
          <w:marBottom w:val="0"/>
          <w:divBdr>
            <w:top w:val="none" w:sz="0" w:space="0" w:color="auto"/>
            <w:left w:val="none" w:sz="0" w:space="0" w:color="auto"/>
            <w:bottom w:val="none" w:sz="0" w:space="0" w:color="auto"/>
            <w:right w:val="none" w:sz="0" w:space="0" w:color="auto"/>
          </w:divBdr>
        </w:div>
        <w:div w:id="390470101">
          <w:marLeft w:val="0"/>
          <w:marRight w:val="0"/>
          <w:marTop w:val="0"/>
          <w:marBottom w:val="0"/>
          <w:divBdr>
            <w:top w:val="none" w:sz="0" w:space="0" w:color="auto"/>
            <w:left w:val="none" w:sz="0" w:space="0" w:color="auto"/>
            <w:bottom w:val="none" w:sz="0" w:space="0" w:color="auto"/>
            <w:right w:val="none" w:sz="0" w:space="0" w:color="auto"/>
          </w:divBdr>
        </w:div>
        <w:div w:id="1078206809">
          <w:marLeft w:val="0"/>
          <w:marRight w:val="0"/>
          <w:marTop w:val="0"/>
          <w:marBottom w:val="0"/>
          <w:divBdr>
            <w:top w:val="none" w:sz="0" w:space="0" w:color="auto"/>
            <w:left w:val="none" w:sz="0" w:space="0" w:color="auto"/>
            <w:bottom w:val="none" w:sz="0" w:space="0" w:color="auto"/>
            <w:right w:val="none" w:sz="0" w:space="0" w:color="auto"/>
          </w:divBdr>
        </w:div>
        <w:div w:id="190494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Megan (ADM)</dc:creator>
  <cp:keywords/>
  <dc:description/>
  <cp:lastModifiedBy>Lynn Butcher MAPE</cp:lastModifiedBy>
  <cp:revision>2</cp:revision>
  <dcterms:created xsi:type="dcterms:W3CDTF">2021-01-17T18:03:00Z</dcterms:created>
  <dcterms:modified xsi:type="dcterms:W3CDTF">2021-01-17T18:03:00Z</dcterms:modified>
</cp:coreProperties>
</file>