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2D81" w14:textId="77777777" w:rsidR="00C336B8" w:rsidRPr="00C336B8" w:rsidRDefault="00C336B8" w:rsidP="00C336B8">
      <w:pPr>
        <w:spacing w:after="0" w:line="240" w:lineRule="auto"/>
        <w:rPr>
          <w:rFonts w:ascii="Georgia" w:eastAsia="Times New Roman" w:hAnsi="Georgia" w:cs="Tahoma"/>
          <w:b/>
          <w:color w:val="000000"/>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C336B8" w:rsidRPr="00C336B8" w14:paraId="7EB878C6" w14:textId="77777777" w:rsidTr="004E6A03">
        <w:trPr>
          <w:cantSplit/>
          <w:trHeight w:val="755"/>
          <w:jc w:val="center"/>
        </w:trPr>
        <w:tc>
          <w:tcPr>
            <w:tcW w:w="9635" w:type="dxa"/>
            <w:tcBorders>
              <w:bottom w:val="single" w:sz="4" w:space="0" w:color="auto"/>
            </w:tcBorders>
            <w:vAlign w:val="center"/>
          </w:tcPr>
          <w:p w14:paraId="30BA8621" w14:textId="77777777" w:rsidR="00C336B8" w:rsidRPr="00C336B8" w:rsidRDefault="00C336B8" w:rsidP="00C336B8">
            <w:pPr>
              <w:keepNext/>
              <w:tabs>
                <w:tab w:val="left" w:pos="9360"/>
              </w:tabs>
              <w:spacing w:after="240" w:line="240" w:lineRule="auto"/>
              <w:contextualSpacing/>
              <w:jc w:val="center"/>
              <w:outlineLvl w:val="1"/>
              <w:rPr>
                <w:rFonts w:ascii="Arial" w:eastAsia="Times New Roman" w:hAnsi="Arial" w:cs="Times New Roman"/>
                <w:b/>
                <w:szCs w:val="20"/>
              </w:rPr>
            </w:pPr>
            <w:r w:rsidRPr="00C336B8">
              <w:rPr>
                <w:rFonts w:ascii="Arial" w:eastAsia="Times New Roman" w:hAnsi="Arial" w:cs="Times New Roman"/>
                <w:b/>
                <w:szCs w:val="20"/>
              </w:rPr>
              <w:t>Proposed By-Law Change to MAPE Scholarships</w:t>
            </w:r>
          </w:p>
        </w:tc>
      </w:tr>
    </w:tbl>
    <w:p w14:paraId="05FE4D80" w14:textId="77777777" w:rsidR="00C336B8" w:rsidRPr="00C336B8" w:rsidRDefault="00C336B8" w:rsidP="00C336B8">
      <w:pPr>
        <w:spacing w:after="240" w:line="240" w:lineRule="auto"/>
        <w:rPr>
          <w:rFonts w:ascii="Arial" w:eastAsia="Times New Roman" w:hAnsi="Arial" w:cs="Times New Roman"/>
          <w:szCs w:val="20"/>
        </w:rPr>
      </w:pPr>
    </w:p>
    <w:p w14:paraId="07EFEDDD"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There is a conflict between the By-Laws and a motion made and passed by the Board of Directors:</w:t>
      </w:r>
    </w:p>
    <w:p w14:paraId="1A84D9E8"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Article VI, Section 11 of the MAPE By-Laws specifies that the Organizing Council shall oversee scholarships.</w:t>
      </w:r>
    </w:p>
    <w:p w14:paraId="75A8499B" w14:textId="77777777" w:rsidR="00C336B8" w:rsidRPr="00C336B8" w:rsidRDefault="00C336B8" w:rsidP="00C336B8">
      <w:pPr>
        <w:spacing w:after="240" w:line="240" w:lineRule="auto"/>
        <w:rPr>
          <w:rFonts w:ascii="Georgia" w:eastAsia="Times New Roman" w:hAnsi="Georgia" w:cs="Tahoma"/>
          <w:b/>
          <w:color w:val="000000"/>
          <w:szCs w:val="24"/>
        </w:rPr>
      </w:pPr>
      <w:r w:rsidRPr="00C336B8">
        <w:rPr>
          <w:rFonts w:ascii="Arial" w:eastAsia="Times New Roman" w:hAnsi="Arial" w:cs="Times New Roman"/>
          <w:szCs w:val="20"/>
        </w:rPr>
        <w:t xml:space="preserve">In June of 2019 the MAPE Board of Directors passed a motion to have scholarships administered by a board workgroup: </w:t>
      </w:r>
      <w:r w:rsidRPr="00C336B8">
        <w:rPr>
          <w:rFonts w:ascii="Georgia" w:eastAsia="Times New Roman" w:hAnsi="Georgia" w:cs="Tahoma"/>
          <w:b/>
          <w:color w:val="000000"/>
          <w:szCs w:val="24"/>
        </w:rPr>
        <w:t xml:space="preserve">MSP </w:t>
      </w:r>
      <w:r w:rsidRPr="00C336B8">
        <w:rPr>
          <w:rFonts w:ascii="Georgia" w:eastAsia="Times New Roman" w:hAnsi="Georgia" w:cs="Tahoma"/>
          <w:bCs/>
          <w:color w:val="000000"/>
          <w:szCs w:val="24"/>
        </w:rPr>
        <w:t xml:space="preserve">(Jeffries) </w:t>
      </w:r>
      <w:r w:rsidRPr="00C336B8">
        <w:rPr>
          <w:rFonts w:ascii="Georgia" w:eastAsia="Times New Roman" w:hAnsi="Georgia" w:cs="Tahoma"/>
          <w:b/>
          <w:color w:val="000000"/>
          <w:szCs w:val="24"/>
        </w:rPr>
        <w:t>to fund scholarships and have them administered by a board workgroup.</w:t>
      </w:r>
    </w:p>
    <w:p w14:paraId="541CC594"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Striking the language in Article VI, Section 11, B4 “Oversee MAPE scholarships” would remove this conflict and allow scholarships to be administered by either the Council or a workgroup.</w:t>
      </w:r>
    </w:p>
    <w:p w14:paraId="6ED4ABC9" w14:textId="77777777" w:rsidR="00C336B8" w:rsidRPr="00C336B8" w:rsidRDefault="00C336B8" w:rsidP="00C336B8">
      <w:pPr>
        <w:spacing w:after="240" w:line="240" w:lineRule="auto"/>
        <w:rPr>
          <w:rFonts w:ascii="Arial" w:eastAsia="Times New Roman" w:hAnsi="Arial" w:cs="Times New Roman"/>
          <w:szCs w:val="20"/>
        </w:rPr>
      </w:pPr>
    </w:p>
    <w:p w14:paraId="6FCF22DF"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Article XVI of the MAPE By-Laws specifies that they may amended by the Delegate Assembly or the Board of Directors as follows:</w:t>
      </w:r>
    </w:p>
    <w:p w14:paraId="7879B1BB"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 xml:space="preserve">Section 1.      </w:t>
      </w:r>
      <w:r w:rsidRPr="00C336B8">
        <w:rPr>
          <w:rFonts w:ascii="Arial" w:eastAsia="Times New Roman" w:hAnsi="Arial" w:cs="Times New Roman"/>
          <w:b/>
          <w:bCs/>
          <w:szCs w:val="20"/>
        </w:rPr>
        <w:t>Amendments to Bylaws</w:t>
      </w:r>
      <w:r w:rsidRPr="00C336B8">
        <w:rPr>
          <w:rFonts w:ascii="Arial" w:eastAsia="Times New Roman" w:hAnsi="Arial" w:cs="Times New Roman"/>
          <w:szCs w:val="20"/>
        </w:rPr>
        <w:t>.</w:t>
      </w:r>
    </w:p>
    <w:p w14:paraId="6FA44259"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Amendments to the Bylaws of MAPE may be approved by the Delegate Assembly with a majority vote of the delegates present and voting or by two-thirds vote of the Board of Directors.</w:t>
      </w:r>
    </w:p>
    <w:p w14:paraId="0B92546F"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 xml:space="preserve">Section 2.      </w:t>
      </w:r>
      <w:r w:rsidRPr="00C336B8">
        <w:rPr>
          <w:rFonts w:ascii="Arial" w:eastAsia="Times New Roman" w:hAnsi="Arial" w:cs="Times New Roman"/>
          <w:b/>
          <w:bCs/>
          <w:szCs w:val="20"/>
        </w:rPr>
        <w:t>Notice of Amendment by Board of Directors</w:t>
      </w:r>
      <w:r w:rsidRPr="00C336B8">
        <w:rPr>
          <w:rFonts w:ascii="Arial" w:eastAsia="Times New Roman" w:hAnsi="Arial" w:cs="Times New Roman"/>
          <w:szCs w:val="20"/>
        </w:rPr>
        <w:t xml:space="preserve">. </w:t>
      </w:r>
    </w:p>
    <w:p w14:paraId="07BDE2CC" w14:textId="77777777" w:rsidR="00C336B8" w:rsidRPr="00C336B8" w:rsidRDefault="00C336B8" w:rsidP="00C336B8">
      <w:pPr>
        <w:spacing w:after="240" w:line="240" w:lineRule="auto"/>
        <w:rPr>
          <w:rFonts w:ascii="Arial" w:eastAsia="Times New Roman" w:hAnsi="Arial" w:cs="Times New Roman"/>
          <w:szCs w:val="20"/>
        </w:rPr>
      </w:pPr>
      <w:r w:rsidRPr="00C336B8">
        <w:rPr>
          <w:rFonts w:ascii="Arial" w:eastAsia="Times New Roman" w:hAnsi="Arial" w:cs="Times New Roman"/>
          <w:szCs w:val="20"/>
        </w:rPr>
        <w:t>Written notice containing copies of all proposed amendments to the bylaws must be sent electronically to the members of the Board of Directors and posted on the MAPE website at least 30 days prior to the Board of Directors meeting at which they will be considered.</w:t>
      </w:r>
    </w:p>
    <w:p w14:paraId="1AB24FA1" w14:textId="77777777" w:rsidR="00C336B8" w:rsidRPr="00C336B8" w:rsidRDefault="00C336B8" w:rsidP="00C336B8">
      <w:pPr>
        <w:spacing w:after="240" w:line="240" w:lineRule="auto"/>
        <w:rPr>
          <w:rFonts w:ascii="Arial" w:eastAsia="Times New Roman" w:hAnsi="Arial" w:cs="Times New Roman"/>
          <w:szCs w:val="20"/>
        </w:rPr>
      </w:pPr>
    </w:p>
    <w:p w14:paraId="45A58AB6" w14:textId="77777777" w:rsidR="00C336B8" w:rsidRPr="00C336B8" w:rsidRDefault="00C336B8" w:rsidP="00C336B8">
      <w:pPr>
        <w:spacing w:after="0" w:line="240" w:lineRule="auto"/>
        <w:rPr>
          <w:rFonts w:ascii="Arial" w:eastAsia="Times New Roman" w:hAnsi="Arial" w:cs="Times New Roman"/>
          <w:szCs w:val="20"/>
        </w:rPr>
      </w:pPr>
      <w:r w:rsidRPr="00C336B8">
        <w:rPr>
          <w:rFonts w:ascii="Arial" w:eastAsia="Times New Roman" w:hAnsi="Arial" w:cs="Times New Roman"/>
          <w:szCs w:val="20"/>
        </w:rPr>
        <w:br w:type="page"/>
      </w:r>
      <w:r w:rsidRPr="00C336B8">
        <w:rPr>
          <w:rFonts w:ascii="Arial" w:eastAsia="Times New Roman" w:hAnsi="Arial" w:cs="Times New Roman"/>
          <w:szCs w:val="20"/>
        </w:rPr>
        <w:lastRenderedPageBreak/>
        <w:t>(Underscoring denotes wording inserted (</w:t>
      </w:r>
      <w:r w:rsidRPr="00C336B8">
        <w:rPr>
          <w:rFonts w:ascii="Arial" w:eastAsia="Times New Roman" w:hAnsi="Arial" w:cs="Times New Roman"/>
          <w:szCs w:val="20"/>
          <w:u w:val="single"/>
        </w:rPr>
        <w:t>inserted wording</w:t>
      </w:r>
      <w:r w:rsidRPr="00C336B8">
        <w:rPr>
          <w:rFonts w:ascii="Arial" w:eastAsia="Times New Roman" w:hAnsi="Arial" w:cs="Times New Roman"/>
          <w:szCs w:val="20"/>
        </w:rPr>
        <w:t>), and strike-through denotes wording deleted (</w:t>
      </w:r>
      <w:r w:rsidRPr="00C336B8">
        <w:rPr>
          <w:rFonts w:ascii="Arial" w:eastAsia="Times New Roman" w:hAnsi="Arial" w:cs="Times New Roman"/>
          <w:strike/>
          <w:szCs w:val="20"/>
        </w:rPr>
        <w:t>deleted wording</w:t>
      </w:r>
      <w:r w:rsidRPr="00C336B8">
        <w:rPr>
          <w:rFonts w:ascii="Arial" w:eastAsia="Times New Roman" w:hAnsi="Arial" w:cs="Times New Roman"/>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336B8" w:rsidRPr="00C336B8" w14:paraId="7A5680A2" w14:textId="77777777" w:rsidTr="004E6A03">
        <w:trPr>
          <w:trHeight w:val="125"/>
        </w:trPr>
        <w:tc>
          <w:tcPr>
            <w:tcW w:w="5400" w:type="dxa"/>
          </w:tcPr>
          <w:p w14:paraId="7AC73CEF" w14:textId="77777777" w:rsidR="00C336B8" w:rsidRPr="00C336B8" w:rsidRDefault="00C336B8" w:rsidP="00C336B8">
            <w:pPr>
              <w:keepNext/>
              <w:tabs>
                <w:tab w:val="left" w:pos="9360"/>
              </w:tabs>
              <w:spacing w:after="240" w:line="240" w:lineRule="auto"/>
              <w:contextualSpacing/>
              <w:jc w:val="center"/>
              <w:outlineLvl w:val="1"/>
              <w:rPr>
                <w:rFonts w:ascii="Arial" w:eastAsia="Times New Roman" w:hAnsi="Arial" w:cs="Times New Roman"/>
                <w:b/>
                <w:szCs w:val="20"/>
              </w:rPr>
            </w:pPr>
            <w:r w:rsidRPr="00C336B8">
              <w:rPr>
                <w:rFonts w:ascii="Arial" w:eastAsia="Times New Roman" w:hAnsi="Arial" w:cs="Times New Roman"/>
                <w:b/>
                <w:szCs w:val="20"/>
              </w:rPr>
              <w:t xml:space="preserve">What is being amended? </w:t>
            </w:r>
          </w:p>
        </w:tc>
        <w:tc>
          <w:tcPr>
            <w:tcW w:w="5400" w:type="dxa"/>
          </w:tcPr>
          <w:p w14:paraId="48798E57" w14:textId="77777777" w:rsidR="00C336B8" w:rsidRPr="00C336B8" w:rsidRDefault="00C336B8" w:rsidP="00C336B8">
            <w:pPr>
              <w:keepNext/>
              <w:tabs>
                <w:tab w:val="left" w:pos="9360"/>
              </w:tabs>
              <w:spacing w:after="240" w:line="240" w:lineRule="auto"/>
              <w:contextualSpacing/>
              <w:jc w:val="center"/>
              <w:outlineLvl w:val="1"/>
              <w:rPr>
                <w:rFonts w:ascii="Arial" w:eastAsia="Times New Roman" w:hAnsi="Arial" w:cs="Times New Roman"/>
                <w:b/>
                <w:szCs w:val="20"/>
              </w:rPr>
            </w:pPr>
            <w:r w:rsidRPr="00C336B8">
              <w:rPr>
                <w:rFonts w:ascii="Arial" w:eastAsia="Times New Roman" w:hAnsi="Arial" w:cs="Times New Roman"/>
                <w:b/>
                <w:szCs w:val="20"/>
              </w:rPr>
              <w:t>Resulting Language</w:t>
            </w:r>
          </w:p>
        </w:tc>
      </w:tr>
      <w:tr w:rsidR="00C336B8" w:rsidRPr="00C336B8" w14:paraId="6709CEF4" w14:textId="77777777" w:rsidTr="004E6A03">
        <w:tc>
          <w:tcPr>
            <w:tcW w:w="5400" w:type="dxa"/>
          </w:tcPr>
          <w:p w14:paraId="6391CFAB"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 xml:space="preserve">Section 11.    </w:t>
            </w:r>
            <w:r w:rsidRPr="00C336B8">
              <w:rPr>
                <w:rFonts w:ascii="&amp;quot" w:eastAsia="Times New Roman" w:hAnsi="&amp;quot" w:cs="Times New Roman"/>
                <w:b/>
                <w:bCs/>
                <w:color w:val="222222"/>
                <w:szCs w:val="24"/>
              </w:rPr>
              <w:t>Organizing Council</w:t>
            </w:r>
            <w:r w:rsidRPr="00C336B8">
              <w:rPr>
                <w:rFonts w:ascii="&amp;quot" w:eastAsia="Times New Roman" w:hAnsi="&amp;quot" w:cs="Times New Roman"/>
                <w:color w:val="222222"/>
                <w:szCs w:val="24"/>
              </w:rPr>
              <w:t xml:space="preserve">. </w:t>
            </w:r>
          </w:p>
          <w:p w14:paraId="6BD8C708"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A. An Organizing Council, consisting of five elected members and two appointed members. The Statewide President is an ex-officio non-voting member of the council.</w:t>
            </w:r>
          </w:p>
          <w:p w14:paraId="76587E08"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B. The council shall promote full and equal participation of all people represented by MAPE in the Union and workplace. This includes:</w:t>
            </w:r>
          </w:p>
          <w:p w14:paraId="3BE7EA20" w14:textId="77777777" w:rsidR="00C336B8" w:rsidRPr="00C336B8" w:rsidRDefault="00C336B8" w:rsidP="00C336B8">
            <w:pPr>
              <w:numPr>
                <w:ilvl w:val="0"/>
                <w:numId w:val="1"/>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Organize diverse professionals to build power, membership recruitment and retention, relationship building and conducting actions led by local leaders who are accountable to members.</w:t>
            </w:r>
          </w:p>
          <w:p w14:paraId="4B0D92C9" w14:textId="77777777" w:rsidR="00C336B8" w:rsidRPr="00C336B8" w:rsidRDefault="00C336B8" w:rsidP="00C336B8">
            <w:pPr>
              <w:numPr>
                <w:ilvl w:val="0"/>
                <w:numId w:val="1"/>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Providing training, mentoring, and practical experiences for people to develop their leadership skills.</w:t>
            </w:r>
          </w:p>
          <w:p w14:paraId="62C4F598" w14:textId="77777777" w:rsidR="00C336B8" w:rsidRPr="00C336B8" w:rsidRDefault="00C336B8" w:rsidP="00C336B8">
            <w:pPr>
              <w:numPr>
                <w:ilvl w:val="0"/>
                <w:numId w:val="1"/>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Strategies should include deliberate attention to diversity, inclusion and protected classes.</w:t>
            </w:r>
          </w:p>
          <w:p w14:paraId="390EBA7C" w14:textId="77777777" w:rsidR="00C336B8" w:rsidRPr="00C336B8" w:rsidRDefault="00C336B8" w:rsidP="00C336B8">
            <w:pPr>
              <w:numPr>
                <w:ilvl w:val="0"/>
                <w:numId w:val="1"/>
              </w:numPr>
              <w:spacing w:after="0" w:line="240" w:lineRule="auto"/>
              <w:rPr>
                <w:rFonts w:ascii="&amp;quot" w:eastAsia="Times New Roman" w:hAnsi="&amp;quot" w:cs="Times New Roman"/>
                <w:strike/>
                <w:color w:val="333F4E"/>
                <w:szCs w:val="24"/>
              </w:rPr>
            </w:pPr>
            <w:r w:rsidRPr="00C336B8">
              <w:rPr>
                <w:rFonts w:ascii="&amp;quot" w:eastAsia="Times New Roman" w:hAnsi="&amp;quot" w:cs="Times New Roman"/>
                <w:strike/>
                <w:color w:val="333F4E"/>
                <w:szCs w:val="24"/>
              </w:rPr>
              <w:t>Oversee MAPE scholarships.</w:t>
            </w:r>
          </w:p>
          <w:p w14:paraId="051500F7" w14:textId="77777777" w:rsidR="00C336B8" w:rsidRPr="00C336B8" w:rsidRDefault="00C336B8" w:rsidP="00C336B8">
            <w:pPr>
              <w:numPr>
                <w:ilvl w:val="0"/>
                <w:numId w:val="1"/>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Collaborate with external organizations.</w:t>
            </w:r>
          </w:p>
          <w:p w14:paraId="11D2B603" w14:textId="77777777" w:rsidR="00C336B8" w:rsidRPr="00C336B8" w:rsidRDefault="00C336B8" w:rsidP="00C336B8">
            <w:pPr>
              <w:spacing w:after="0" w:line="240" w:lineRule="auto"/>
              <w:ind w:left="720"/>
              <w:rPr>
                <w:rFonts w:ascii="&amp;quot" w:eastAsia="Times New Roman" w:hAnsi="&amp;quot" w:cs="Times New Roman"/>
                <w:color w:val="333F4E"/>
                <w:szCs w:val="24"/>
              </w:rPr>
            </w:pPr>
          </w:p>
          <w:p w14:paraId="5B9D3FFE"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C.</w:t>
            </w:r>
            <w:r w:rsidRPr="00C336B8">
              <w:rPr>
                <w:rFonts w:ascii="&amp;quot" w:eastAsia="Times New Roman" w:hAnsi="&amp;quot" w:cs="Times New Roman"/>
                <w:b/>
                <w:bCs/>
                <w:color w:val="222222"/>
                <w:szCs w:val="24"/>
              </w:rPr>
              <w:t xml:space="preserve"> Charter</w:t>
            </w:r>
            <w:r w:rsidRPr="00C336B8">
              <w:rPr>
                <w:rFonts w:ascii="&amp;quot" w:eastAsia="Times New Roman" w:hAnsi="&amp;quot" w:cs="Times New Roman"/>
                <w:color w:val="222222"/>
                <w:szCs w:val="24"/>
              </w:rPr>
              <w:t>. The council will operate under a charter approved by the Board of Directors. The charter will be created in alignment with the Board of Directors' strategic plan.</w:t>
            </w:r>
          </w:p>
          <w:p w14:paraId="3AACE83D"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p>
        </w:tc>
        <w:tc>
          <w:tcPr>
            <w:tcW w:w="5400" w:type="dxa"/>
          </w:tcPr>
          <w:p w14:paraId="16563465"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 xml:space="preserve">Section 11.    </w:t>
            </w:r>
            <w:r w:rsidRPr="00C336B8">
              <w:rPr>
                <w:rFonts w:ascii="&amp;quot" w:eastAsia="Times New Roman" w:hAnsi="&amp;quot" w:cs="Times New Roman"/>
                <w:b/>
                <w:bCs/>
                <w:color w:val="222222"/>
                <w:szCs w:val="24"/>
              </w:rPr>
              <w:t>Organizing Council</w:t>
            </w:r>
            <w:r w:rsidRPr="00C336B8">
              <w:rPr>
                <w:rFonts w:ascii="&amp;quot" w:eastAsia="Times New Roman" w:hAnsi="&amp;quot" w:cs="Times New Roman"/>
                <w:color w:val="222222"/>
                <w:szCs w:val="24"/>
              </w:rPr>
              <w:t xml:space="preserve">. </w:t>
            </w:r>
          </w:p>
          <w:p w14:paraId="0424BE11"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A. An Organizing Council, consisting of five elected members and two appointed members. The Statewide President is an ex-officio non-voting member of the council.</w:t>
            </w:r>
          </w:p>
          <w:p w14:paraId="109C4E92"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B. The council shall promote full and equal participation of all people represented by MAPE in the Union and workplace. This includes:</w:t>
            </w:r>
          </w:p>
          <w:p w14:paraId="577EF9F3" w14:textId="77777777" w:rsidR="00C336B8" w:rsidRPr="00C336B8" w:rsidRDefault="00C336B8" w:rsidP="00C336B8">
            <w:pPr>
              <w:numPr>
                <w:ilvl w:val="0"/>
                <w:numId w:val="2"/>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Organize diverse professionals to build power, membership recruitment and retention, relationship building and conducting actions led by local leaders who are accountable to members.</w:t>
            </w:r>
          </w:p>
          <w:p w14:paraId="3D47C0FC" w14:textId="77777777" w:rsidR="00C336B8" w:rsidRPr="00C336B8" w:rsidRDefault="00C336B8" w:rsidP="00C336B8">
            <w:pPr>
              <w:numPr>
                <w:ilvl w:val="0"/>
                <w:numId w:val="2"/>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Providing training, mentoring, and practical experiences for people to develop their leadership skills.</w:t>
            </w:r>
          </w:p>
          <w:p w14:paraId="04C357FF" w14:textId="77777777" w:rsidR="00C336B8" w:rsidRPr="00C336B8" w:rsidRDefault="00C336B8" w:rsidP="00C336B8">
            <w:pPr>
              <w:numPr>
                <w:ilvl w:val="0"/>
                <w:numId w:val="2"/>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Strategies should include deliberate attention to diversity, inclusion and protected classes.</w:t>
            </w:r>
          </w:p>
          <w:p w14:paraId="551379F2" w14:textId="77777777" w:rsidR="00C336B8" w:rsidRPr="00C336B8" w:rsidRDefault="00C336B8" w:rsidP="00C336B8">
            <w:pPr>
              <w:numPr>
                <w:ilvl w:val="0"/>
                <w:numId w:val="2"/>
              </w:numPr>
              <w:spacing w:after="0" w:line="240" w:lineRule="auto"/>
              <w:rPr>
                <w:rFonts w:ascii="&amp;quot" w:eastAsia="Times New Roman" w:hAnsi="&amp;quot" w:cs="Times New Roman"/>
                <w:color w:val="333F4E"/>
                <w:szCs w:val="24"/>
              </w:rPr>
            </w:pPr>
            <w:r w:rsidRPr="00C336B8">
              <w:rPr>
                <w:rFonts w:ascii="&amp;quot" w:eastAsia="Times New Roman" w:hAnsi="&amp;quot" w:cs="Times New Roman"/>
                <w:color w:val="333F4E"/>
                <w:szCs w:val="24"/>
              </w:rPr>
              <w:t>Collaborate with external organizations.</w:t>
            </w:r>
          </w:p>
          <w:p w14:paraId="673A2E79" w14:textId="77777777" w:rsidR="00C336B8" w:rsidRPr="00C336B8" w:rsidRDefault="00C336B8" w:rsidP="00C336B8">
            <w:pPr>
              <w:spacing w:after="0" w:line="240" w:lineRule="auto"/>
              <w:ind w:left="720"/>
              <w:rPr>
                <w:rFonts w:ascii="&amp;quot" w:eastAsia="Times New Roman" w:hAnsi="&amp;quot" w:cs="Times New Roman"/>
                <w:color w:val="333F4E"/>
                <w:szCs w:val="24"/>
              </w:rPr>
            </w:pPr>
          </w:p>
          <w:p w14:paraId="3E15D7EF" w14:textId="77777777" w:rsidR="00C336B8" w:rsidRPr="00C336B8" w:rsidRDefault="00C336B8" w:rsidP="00C336B8">
            <w:pPr>
              <w:spacing w:after="100" w:afterAutospacing="1" w:line="240" w:lineRule="auto"/>
              <w:rPr>
                <w:rFonts w:ascii="&amp;quot" w:eastAsia="Times New Roman" w:hAnsi="&amp;quot" w:cs="Times New Roman"/>
                <w:color w:val="222222"/>
                <w:szCs w:val="24"/>
              </w:rPr>
            </w:pPr>
            <w:r w:rsidRPr="00C336B8">
              <w:rPr>
                <w:rFonts w:ascii="&amp;quot" w:eastAsia="Times New Roman" w:hAnsi="&amp;quot" w:cs="Times New Roman"/>
                <w:color w:val="222222"/>
                <w:szCs w:val="24"/>
              </w:rPr>
              <w:t>C.</w:t>
            </w:r>
            <w:r w:rsidRPr="00C336B8">
              <w:rPr>
                <w:rFonts w:ascii="&amp;quot" w:eastAsia="Times New Roman" w:hAnsi="&amp;quot" w:cs="Times New Roman"/>
                <w:b/>
                <w:bCs/>
                <w:color w:val="222222"/>
                <w:szCs w:val="24"/>
              </w:rPr>
              <w:t xml:space="preserve"> Charter</w:t>
            </w:r>
            <w:r w:rsidRPr="00C336B8">
              <w:rPr>
                <w:rFonts w:ascii="&amp;quot" w:eastAsia="Times New Roman" w:hAnsi="&amp;quot" w:cs="Times New Roman"/>
                <w:color w:val="222222"/>
                <w:szCs w:val="24"/>
              </w:rPr>
              <w:t>. The council will operate under a charter approved by the Board of Directors. The charter will be created in alignment with the Board of Directors' strategic plan.</w:t>
            </w:r>
          </w:p>
        </w:tc>
      </w:tr>
    </w:tbl>
    <w:p w14:paraId="7E554C64" w14:textId="77777777" w:rsidR="00C336B8" w:rsidRPr="00C336B8" w:rsidRDefault="00C336B8" w:rsidP="00C336B8">
      <w:pPr>
        <w:autoSpaceDE w:val="0"/>
        <w:autoSpaceDN w:val="0"/>
        <w:adjustRightInd w:val="0"/>
        <w:spacing w:after="240" w:line="240" w:lineRule="auto"/>
        <w:jc w:val="center"/>
        <w:rPr>
          <w:rFonts w:ascii="Arial" w:eastAsia="Times New Roman" w:hAnsi="Arial" w:cs="Times New Roman"/>
          <w:szCs w:val="20"/>
        </w:rPr>
      </w:pPr>
    </w:p>
    <w:p w14:paraId="29608BCB" w14:textId="77777777" w:rsidR="00C336B8" w:rsidRPr="00C336B8" w:rsidRDefault="00C336B8" w:rsidP="00C336B8">
      <w:pPr>
        <w:spacing w:after="0" w:line="240" w:lineRule="auto"/>
        <w:rPr>
          <w:rFonts w:ascii="Georgia" w:eastAsia="Times New Roman" w:hAnsi="Georgia" w:cs="Tahoma"/>
          <w:b/>
          <w:color w:val="000000"/>
          <w:szCs w:val="24"/>
        </w:rPr>
      </w:pPr>
    </w:p>
    <w:p w14:paraId="68AC8BBC" w14:textId="77777777" w:rsidR="00F622A0" w:rsidRDefault="00F622A0"/>
    <w:sectPr w:rsidR="00F622A0" w:rsidSect="00967AEE">
      <w:headerReference w:type="even" r:id="rId7"/>
      <w:headerReference w:type="default" r:id="rId8"/>
      <w:footerReference w:type="even" r:id="rId9"/>
      <w:footerReference w:type="default" r:id="rId10"/>
      <w:headerReference w:type="first" r:id="rId11"/>
      <w:footerReference w:type="first" r:id="rId12"/>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0D3E" w14:textId="77777777" w:rsidR="00000000" w:rsidRDefault="00C77954">
      <w:pPr>
        <w:spacing w:after="0" w:line="240" w:lineRule="auto"/>
      </w:pPr>
      <w:r>
        <w:separator/>
      </w:r>
    </w:p>
  </w:endnote>
  <w:endnote w:type="continuationSeparator" w:id="0">
    <w:p w14:paraId="762B8DDC" w14:textId="77777777" w:rsidR="00000000" w:rsidRDefault="00C7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8F8C" w14:textId="77777777" w:rsidR="002D351E" w:rsidRDefault="00C7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14:paraId="01FB013C" w14:textId="77777777" w:rsidR="00282FA5" w:rsidRPr="00C33272" w:rsidRDefault="00C77954">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p>
        </w:sdtContent>
      </w:sdt>
    </w:sdtContent>
  </w:sdt>
  <w:p w14:paraId="156B134C" w14:textId="77777777" w:rsidR="00DE23E0" w:rsidRDefault="00C7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7A01" w14:textId="77777777" w:rsidR="002D351E" w:rsidRDefault="00C7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D5E6" w14:textId="77777777" w:rsidR="00000000" w:rsidRDefault="00C77954">
      <w:pPr>
        <w:spacing w:after="0" w:line="240" w:lineRule="auto"/>
      </w:pPr>
      <w:r>
        <w:separator/>
      </w:r>
    </w:p>
  </w:footnote>
  <w:footnote w:type="continuationSeparator" w:id="0">
    <w:p w14:paraId="237AD769" w14:textId="77777777" w:rsidR="00000000" w:rsidRDefault="00C7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D933" w14:textId="77777777" w:rsidR="002D351E" w:rsidRDefault="00C77954">
    <w:pPr>
      <w:pStyle w:val="Header"/>
    </w:pPr>
    <w:r>
      <w:rPr>
        <w:noProof/>
      </w:rPr>
      <w:pict w14:anchorId="77DFC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782" o:spid="_x0000_s2050" type="#_x0000_t136" style="position:absolute;margin-left:0;margin-top:0;width:471.9pt;height:283.1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D5FE" w14:textId="77777777" w:rsidR="002D351E" w:rsidRDefault="00C77954">
    <w:pPr>
      <w:pStyle w:val="Header"/>
    </w:pPr>
    <w:r>
      <w:rPr>
        <w:noProof/>
      </w:rPr>
      <w:pict w14:anchorId="5E0146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783" o:spid="_x0000_s2051" type="#_x0000_t136" style="position:absolute;margin-left:0;margin-top:0;width:471.9pt;height:283.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3D84" w14:textId="77777777" w:rsidR="002D351E" w:rsidRDefault="00C77954">
    <w:pPr>
      <w:pStyle w:val="Header"/>
    </w:pPr>
    <w:r>
      <w:rPr>
        <w:noProof/>
      </w:rPr>
      <w:pict w14:anchorId="71EB9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781" o:spid="_x0000_s2049" type="#_x0000_t136" style="position:absolute;margin-left:0;margin-top:0;width:471.9pt;height:283.1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76F3"/>
    <w:multiLevelType w:val="multilevel"/>
    <w:tmpl w:val="3CA8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91929"/>
    <w:multiLevelType w:val="multilevel"/>
    <w:tmpl w:val="E8A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B8"/>
    <w:rsid w:val="00C336B8"/>
    <w:rsid w:val="00C77954"/>
    <w:rsid w:val="00F6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7EAD23"/>
  <w15:chartTrackingRefBased/>
  <w15:docId w15:val="{D7F80376-4F0B-4D41-B401-11C0061D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6B8"/>
    <w:pPr>
      <w:tabs>
        <w:tab w:val="center" w:pos="4680"/>
        <w:tab w:val="right" w:pos="9360"/>
      </w:tabs>
      <w:spacing w:after="0" w:line="240" w:lineRule="auto"/>
    </w:pPr>
    <w:rPr>
      <w:rFonts w:ascii="Calibri" w:hAnsi="Calibri" w:cs="Times New Roman"/>
      <w:sz w:val="22"/>
    </w:rPr>
  </w:style>
  <w:style w:type="character" w:customStyle="1" w:styleId="HeaderChar">
    <w:name w:val="Header Char"/>
    <w:basedOn w:val="DefaultParagraphFont"/>
    <w:link w:val="Header"/>
    <w:uiPriority w:val="99"/>
    <w:rsid w:val="00C336B8"/>
    <w:rPr>
      <w:rFonts w:ascii="Calibri" w:hAnsi="Calibri" w:cs="Times New Roman"/>
      <w:sz w:val="22"/>
    </w:rPr>
  </w:style>
  <w:style w:type="paragraph" w:styleId="Footer">
    <w:name w:val="footer"/>
    <w:basedOn w:val="Normal"/>
    <w:link w:val="FooterChar"/>
    <w:uiPriority w:val="99"/>
    <w:unhideWhenUsed/>
    <w:rsid w:val="00C336B8"/>
    <w:pPr>
      <w:tabs>
        <w:tab w:val="center" w:pos="4680"/>
        <w:tab w:val="right" w:pos="9360"/>
      </w:tabs>
      <w:spacing w:after="0" w:line="240" w:lineRule="auto"/>
    </w:pPr>
    <w:rPr>
      <w:rFonts w:ascii="Calibri" w:hAnsi="Calibri" w:cs="Times New Roman"/>
      <w:sz w:val="22"/>
    </w:rPr>
  </w:style>
  <w:style w:type="character" w:customStyle="1" w:styleId="FooterChar">
    <w:name w:val="Footer Char"/>
    <w:basedOn w:val="DefaultParagraphFont"/>
    <w:link w:val="Footer"/>
    <w:uiPriority w:val="99"/>
    <w:rsid w:val="00C336B8"/>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Davia Curran</cp:lastModifiedBy>
  <cp:revision>2</cp:revision>
  <dcterms:created xsi:type="dcterms:W3CDTF">2019-11-21T21:43:00Z</dcterms:created>
  <dcterms:modified xsi:type="dcterms:W3CDTF">2019-11-21T21:43:00Z</dcterms:modified>
</cp:coreProperties>
</file>