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D6E6D" w14:textId="22188279" w:rsidR="004E2EFD" w:rsidRPr="004E2EFD" w:rsidRDefault="00E2288B" w:rsidP="004E2EFD">
      <w:pPr>
        <w:pStyle w:val="Heading2"/>
      </w:pPr>
      <w:bookmarkStart w:id="0" w:name="_GoBack"/>
      <w:bookmarkEnd w:id="0"/>
      <w:r>
        <w:t>20</w:t>
      </w:r>
      <w:r w:rsidR="00756027">
        <w:t>21</w:t>
      </w:r>
      <w:r w:rsidR="00604CAD">
        <w:t xml:space="preserve"> MAPE</w:t>
      </w:r>
      <w:r>
        <w:t xml:space="preserve"> </w:t>
      </w:r>
      <w:r w:rsidR="00604CAD">
        <w:t>DELEGATE ASSEMBLY</w:t>
      </w:r>
      <w:r w:rsidR="006A1A34">
        <w:t xml:space="preserve"> </w:t>
      </w:r>
      <w:r w:rsidR="00B2498A" w:rsidRPr="00AC337E">
        <w:t>RESOLUTION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635"/>
      </w:tblGrid>
      <w:tr w:rsidR="00B2498A" w:rsidRPr="00AC337E" w14:paraId="62D5EB87" w14:textId="77777777" w:rsidTr="004E2EFD">
        <w:trPr>
          <w:cantSplit/>
          <w:trHeight w:val="755"/>
          <w:jc w:val="center"/>
        </w:trPr>
        <w:tc>
          <w:tcPr>
            <w:tcW w:w="9635" w:type="dxa"/>
            <w:tcBorders>
              <w:bottom w:val="single" w:sz="4" w:space="0" w:color="auto"/>
            </w:tcBorders>
            <w:vAlign w:val="center"/>
          </w:tcPr>
          <w:p w14:paraId="48724535" w14:textId="5BD2C5AD" w:rsidR="009B56C9" w:rsidRPr="000E3878" w:rsidRDefault="00D8239A" w:rsidP="004E2EFD">
            <w:pPr>
              <w:pStyle w:val="Heading2"/>
            </w:pPr>
            <w:r>
              <w:t>Change MAPE Election Rules to Clarify Nomination Procedures</w:t>
            </w:r>
          </w:p>
        </w:tc>
      </w:tr>
    </w:tbl>
    <w:p w14:paraId="43B97BC0" w14:textId="77777777" w:rsidR="00B2498A" w:rsidRPr="00047191" w:rsidRDefault="00B2498A" w:rsidP="000E3878"/>
    <w:p w14:paraId="5A0893D4" w14:textId="6A832748" w:rsidR="00D8239A" w:rsidRDefault="00D8239A" w:rsidP="000E3878">
      <w:r>
        <w:t>Whereas Election Rules, Article III Nominations, Section 3 are unclear</w:t>
      </w:r>
      <w:r w:rsidR="003860E7">
        <w:t xml:space="preserve">: </w:t>
      </w:r>
      <w:r>
        <w:t>Nominations for local positions</w:t>
      </w:r>
      <w:r w:rsidR="00B421BD">
        <w:t xml:space="preserve"> may be submitted by the local nominations committee or by an “individual member”</w:t>
      </w:r>
      <w:r w:rsidR="003860E7">
        <w:t xml:space="preserve"> and nominations for regional positions may be submitted by the Nominations Committee or by an “individual member” but “individual member” is not defined in the Election Rules.</w:t>
      </w:r>
    </w:p>
    <w:p w14:paraId="22D793D2" w14:textId="6F650279" w:rsidR="00B421BD" w:rsidRDefault="00B421BD" w:rsidP="000E3878">
      <w:r>
        <w:t>The Election Rules do not specify that the individual member making the nomination must belong to the same local as the member being nominated, but it should.</w:t>
      </w:r>
    </w:p>
    <w:p w14:paraId="7D101225" w14:textId="77777777" w:rsidR="00B421BD" w:rsidRDefault="00B421BD" w:rsidP="000E3878">
      <w:r>
        <w:t>Members of a local can only vote for candidates in their local. It logically follows that only voting members of a local should be allowed to nominate candidates who are in their local.</w:t>
      </w:r>
    </w:p>
    <w:p w14:paraId="111CBF3D" w14:textId="611B2C01" w:rsidR="00B421BD" w:rsidRDefault="00B421BD" w:rsidP="000E3878">
      <w:r>
        <w:t xml:space="preserve">Members should </w:t>
      </w:r>
      <w:r w:rsidR="00006711">
        <w:t xml:space="preserve">focus their </w:t>
      </w:r>
      <w:r>
        <w:t>involve</w:t>
      </w:r>
      <w:r w:rsidR="00006711">
        <w:t>ment</w:t>
      </w:r>
      <w:r>
        <w:t xml:space="preserve"> in local elections</w:t>
      </w:r>
      <w:r w:rsidR="00006711">
        <w:t xml:space="preserve"> on</w:t>
      </w:r>
      <w:r>
        <w:t xml:space="preserve"> their </w:t>
      </w:r>
      <w:r w:rsidR="00006711">
        <w:t xml:space="preserve">own </w:t>
      </w:r>
      <w:r>
        <w:t>local.</w:t>
      </w:r>
    </w:p>
    <w:p w14:paraId="1B65FB7E" w14:textId="403FD6A1" w:rsidR="00B421BD" w:rsidRDefault="00B421BD" w:rsidP="000E3878">
      <w:r>
        <w:t>If a member</w:t>
      </w:r>
      <w:r w:rsidR="003860E7">
        <w:t xml:space="preserve"> knows of a member from another local who may be a good candidate for elective office, t</w:t>
      </w:r>
      <w:r>
        <w:t>here are m</w:t>
      </w:r>
      <w:r w:rsidR="003860E7">
        <w:t xml:space="preserve">any avenues available for that member to be nominated including: 1) contacting a member in the </w:t>
      </w:r>
      <w:r w:rsidR="006A774C">
        <w:t>potential nominee’s</w:t>
      </w:r>
      <w:r w:rsidR="003860E7">
        <w:t xml:space="preserve"> local with the suggestion that the member should be nominated, 2) contacting the local </w:t>
      </w:r>
      <w:r w:rsidR="006A774C">
        <w:t>nomination</w:t>
      </w:r>
      <w:r w:rsidR="003860E7">
        <w:t xml:space="preserve"> committee with the suggestion, 3) directly suggesting to the member that the member self-nominate for the position.</w:t>
      </w:r>
    </w:p>
    <w:p w14:paraId="5CABE82A" w14:textId="289DD2EB" w:rsidR="003860E7" w:rsidRDefault="003860E7" w:rsidP="003860E7">
      <w:r>
        <w:t xml:space="preserve">The Election Rules do not specify that the individual member making the nomination must belong to the same </w:t>
      </w:r>
      <w:r w:rsidR="006A774C">
        <w:t>region</w:t>
      </w:r>
      <w:r>
        <w:t xml:space="preserve"> as the member being nominated, but it should.</w:t>
      </w:r>
    </w:p>
    <w:p w14:paraId="49F672DE" w14:textId="5D3FFC1F" w:rsidR="003860E7" w:rsidRDefault="003860E7" w:rsidP="003860E7">
      <w:r>
        <w:t xml:space="preserve">Members of a </w:t>
      </w:r>
      <w:r w:rsidR="006A774C">
        <w:t xml:space="preserve">region </w:t>
      </w:r>
      <w:r>
        <w:t xml:space="preserve">can only vote for candidates in their </w:t>
      </w:r>
      <w:r w:rsidR="006A774C">
        <w:t>region</w:t>
      </w:r>
      <w:r>
        <w:t xml:space="preserve">. It logically follows that only voting members of a </w:t>
      </w:r>
      <w:r w:rsidR="006A774C">
        <w:t>region</w:t>
      </w:r>
      <w:r>
        <w:t xml:space="preserve"> should be allowed to nominate candidates who are in their </w:t>
      </w:r>
      <w:r w:rsidR="006A774C">
        <w:t>region</w:t>
      </w:r>
      <w:r>
        <w:t>.</w:t>
      </w:r>
    </w:p>
    <w:p w14:paraId="0239DF0E" w14:textId="63B1292E" w:rsidR="00006711" w:rsidRDefault="00006711" w:rsidP="00006711">
      <w:r>
        <w:t>Members should focus their involvement in regional elections on their own region.</w:t>
      </w:r>
    </w:p>
    <w:p w14:paraId="64B08415" w14:textId="5F3D98EC" w:rsidR="003860E7" w:rsidRDefault="003860E7" w:rsidP="003860E7">
      <w:r>
        <w:t xml:space="preserve">If a member knows of a member from another </w:t>
      </w:r>
      <w:r w:rsidR="006A774C">
        <w:t>region</w:t>
      </w:r>
      <w:r>
        <w:t xml:space="preserve"> who may be a good candidate for elective office, there are many avenues available for that member to be nominated including: 1) contacting a member in the </w:t>
      </w:r>
      <w:r w:rsidR="006A774C">
        <w:t>potential nominee’s</w:t>
      </w:r>
      <w:r>
        <w:t xml:space="preserve"> </w:t>
      </w:r>
      <w:r w:rsidR="006A774C">
        <w:t>region</w:t>
      </w:r>
      <w:r>
        <w:t xml:space="preserve"> with the suggestion that the member should be nominated, 2) contacting the </w:t>
      </w:r>
      <w:r w:rsidR="006A774C">
        <w:t>Nomination C</w:t>
      </w:r>
      <w:r>
        <w:t>ommittee with the suggestion, 3) directly suggesting to the member that the member self-nominate for the position.</w:t>
      </w:r>
    </w:p>
    <w:p w14:paraId="623DC2CE" w14:textId="768B7135" w:rsidR="003860E7" w:rsidRPr="00006711" w:rsidRDefault="006A774C" w:rsidP="000E3878">
      <w:pPr>
        <w:rPr>
          <w:szCs w:val="24"/>
        </w:rPr>
      </w:pPr>
      <w:r w:rsidRPr="00006711">
        <w:rPr>
          <w:szCs w:val="24"/>
        </w:rPr>
        <w:t>Resolved, that the Election Rules be amended, as shown below to clarify nomination proc</w:t>
      </w:r>
      <w:r w:rsidR="0083727B" w:rsidRPr="00006711">
        <w:rPr>
          <w:szCs w:val="24"/>
        </w:rPr>
        <w:t>e</w:t>
      </w:r>
      <w:r w:rsidRPr="00006711">
        <w:rPr>
          <w:szCs w:val="24"/>
        </w:rPr>
        <w:t>dures</w:t>
      </w:r>
      <w:r w:rsidR="0083727B" w:rsidRPr="00006711">
        <w:rPr>
          <w:szCs w:val="24"/>
        </w:rPr>
        <w:t>.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936"/>
        <w:gridCol w:w="2160"/>
      </w:tblGrid>
      <w:tr w:rsidR="00F868FA" w:rsidRPr="00006711" w14:paraId="131391A3" w14:textId="77777777" w:rsidTr="00F868FA">
        <w:trPr>
          <w:jc w:val="center"/>
        </w:trPr>
        <w:tc>
          <w:tcPr>
            <w:tcW w:w="6936" w:type="dxa"/>
          </w:tcPr>
          <w:p w14:paraId="0D34DF9B" w14:textId="77777777" w:rsidR="00F868FA" w:rsidRPr="00006711" w:rsidRDefault="00F868FA" w:rsidP="000E3878">
            <w:pPr>
              <w:spacing w:after="0"/>
              <w:jc w:val="center"/>
              <w:rPr>
                <w:rFonts w:cs="Arial"/>
                <w:szCs w:val="24"/>
              </w:rPr>
            </w:pPr>
            <w:r w:rsidRPr="00006711">
              <w:rPr>
                <w:rFonts w:cs="Arial"/>
                <w:szCs w:val="24"/>
              </w:rPr>
              <w:t>Passed by</w:t>
            </w:r>
          </w:p>
        </w:tc>
        <w:tc>
          <w:tcPr>
            <w:tcW w:w="2160" w:type="dxa"/>
          </w:tcPr>
          <w:p w14:paraId="4072E6F8" w14:textId="77777777" w:rsidR="00F868FA" w:rsidRPr="00006711" w:rsidRDefault="00F868FA" w:rsidP="000E3878">
            <w:pPr>
              <w:spacing w:after="0"/>
              <w:jc w:val="center"/>
              <w:rPr>
                <w:rFonts w:cs="Arial"/>
                <w:szCs w:val="24"/>
              </w:rPr>
            </w:pPr>
            <w:r w:rsidRPr="00006711">
              <w:rPr>
                <w:rFonts w:cs="Arial"/>
                <w:szCs w:val="24"/>
              </w:rPr>
              <w:t>Date</w:t>
            </w:r>
          </w:p>
        </w:tc>
      </w:tr>
      <w:tr w:rsidR="00F868FA" w:rsidRPr="00006711" w14:paraId="6E5D8C88" w14:textId="77777777" w:rsidTr="00F868FA">
        <w:trPr>
          <w:jc w:val="center"/>
        </w:trPr>
        <w:tc>
          <w:tcPr>
            <w:tcW w:w="6936" w:type="dxa"/>
          </w:tcPr>
          <w:p w14:paraId="70C6D003" w14:textId="1324A869" w:rsidR="00F868FA" w:rsidRPr="00006711" w:rsidRDefault="006A774C" w:rsidP="000E3878">
            <w:pPr>
              <w:spacing w:after="0"/>
              <w:rPr>
                <w:rFonts w:cs="Arial"/>
                <w:szCs w:val="24"/>
              </w:rPr>
            </w:pPr>
            <w:r w:rsidRPr="00006711">
              <w:rPr>
                <w:rFonts w:cs="Arial"/>
                <w:szCs w:val="24"/>
              </w:rPr>
              <w:t>Statewide Elections Committee</w:t>
            </w:r>
          </w:p>
        </w:tc>
        <w:tc>
          <w:tcPr>
            <w:tcW w:w="2160" w:type="dxa"/>
          </w:tcPr>
          <w:p w14:paraId="1626ECF7" w14:textId="046F952C" w:rsidR="00F868FA" w:rsidRPr="00006711" w:rsidRDefault="006A774C" w:rsidP="000E3878">
            <w:pPr>
              <w:spacing w:after="0"/>
              <w:jc w:val="center"/>
              <w:rPr>
                <w:rFonts w:cs="Arial"/>
                <w:szCs w:val="24"/>
              </w:rPr>
            </w:pPr>
            <w:r w:rsidRPr="00006711">
              <w:rPr>
                <w:rFonts w:cs="Arial"/>
                <w:szCs w:val="24"/>
              </w:rPr>
              <w:t>July 1, 2021</w:t>
            </w:r>
          </w:p>
        </w:tc>
      </w:tr>
    </w:tbl>
    <w:p w14:paraId="15E51E37" w14:textId="7A7DBBA5" w:rsidR="00B2498A" w:rsidRPr="00006711" w:rsidRDefault="00B2498A" w:rsidP="000E3878">
      <w:pPr>
        <w:rPr>
          <w:szCs w:val="24"/>
        </w:rPr>
      </w:pPr>
    </w:p>
    <w:p w14:paraId="44949D01" w14:textId="77777777" w:rsidR="0014730D" w:rsidRPr="00006711" w:rsidRDefault="0014730D" w:rsidP="000E3878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4266"/>
        <w:gridCol w:w="2160"/>
      </w:tblGrid>
      <w:tr w:rsidR="00B2498A" w:rsidRPr="00033E3B" w14:paraId="0484DF74" w14:textId="77777777">
        <w:trPr>
          <w:jc w:val="center"/>
        </w:trPr>
        <w:tc>
          <w:tcPr>
            <w:tcW w:w="3222" w:type="dxa"/>
          </w:tcPr>
          <w:p w14:paraId="11C4F189" w14:textId="77777777" w:rsidR="00B2498A" w:rsidRPr="00E034AA" w:rsidRDefault="00B2498A" w:rsidP="000E3878">
            <w:pPr>
              <w:spacing w:after="0"/>
              <w:jc w:val="center"/>
              <w:rPr>
                <w:rFonts w:cs="Arial"/>
                <w:szCs w:val="24"/>
              </w:rPr>
            </w:pPr>
            <w:r w:rsidRPr="00E034AA">
              <w:rPr>
                <w:rFonts w:cs="Arial"/>
                <w:szCs w:val="24"/>
              </w:rPr>
              <w:lastRenderedPageBreak/>
              <w:t>Contact Name</w:t>
            </w:r>
          </w:p>
        </w:tc>
        <w:tc>
          <w:tcPr>
            <w:tcW w:w="4266" w:type="dxa"/>
          </w:tcPr>
          <w:p w14:paraId="4B72C82C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E-mail Address</w:t>
            </w:r>
          </w:p>
        </w:tc>
        <w:tc>
          <w:tcPr>
            <w:tcW w:w="2160" w:type="dxa"/>
          </w:tcPr>
          <w:p w14:paraId="0D760AB1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Phone</w:t>
            </w:r>
          </w:p>
        </w:tc>
      </w:tr>
      <w:tr w:rsidR="00B2498A" w:rsidRPr="00033E3B" w14:paraId="0E67C610" w14:textId="77777777" w:rsidTr="00E034AA">
        <w:trPr>
          <w:trHeight w:val="323"/>
          <w:jc w:val="center"/>
        </w:trPr>
        <w:tc>
          <w:tcPr>
            <w:tcW w:w="3222" w:type="dxa"/>
          </w:tcPr>
          <w:p w14:paraId="539AAE31" w14:textId="77777777" w:rsidR="00B2498A" w:rsidRDefault="00E034AA" w:rsidP="000E3878">
            <w:pPr>
              <w:spacing w:after="0"/>
              <w:rPr>
                <w:spacing w:val="6"/>
                <w:szCs w:val="24"/>
              </w:rPr>
            </w:pPr>
            <w:r w:rsidRPr="00E034AA">
              <w:rPr>
                <w:spacing w:val="6"/>
                <w:szCs w:val="24"/>
              </w:rPr>
              <w:t>Christopher Cimafranca</w:t>
            </w:r>
          </w:p>
          <w:p w14:paraId="09EAE2B8" w14:textId="77777777" w:rsidR="00E034AA" w:rsidRDefault="00E034AA" w:rsidP="000E3878">
            <w:pPr>
              <w:spacing w:after="0"/>
              <w:rPr>
                <w:spacing w:val="6"/>
                <w:szCs w:val="24"/>
              </w:rPr>
            </w:pPr>
          </w:p>
          <w:p w14:paraId="0B7A253B" w14:textId="7737F727" w:rsidR="00E034AA" w:rsidRDefault="00E034AA" w:rsidP="000E3878">
            <w:pPr>
              <w:spacing w:after="0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>Stephanie Boucher</w:t>
            </w:r>
          </w:p>
          <w:p w14:paraId="391190F9" w14:textId="77777777" w:rsidR="0030691B" w:rsidRDefault="0030691B" w:rsidP="000E3878">
            <w:pPr>
              <w:spacing w:after="0"/>
              <w:rPr>
                <w:spacing w:val="6"/>
                <w:szCs w:val="24"/>
              </w:rPr>
            </w:pPr>
          </w:p>
          <w:p w14:paraId="787D0CA0" w14:textId="375C26BF" w:rsidR="00E034AA" w:rsidRPr="00E034AA" w:rsidRDefault="00E034AA" w:rsidP="000E3878">
            <w:pPr>
              <w:spacing w:after="0"/>
              <w:rPr>
                <w:rFonts w:cs="Arial"/>
                <w:szCs w:val="24"/>
              </w:rPr>
            </w:pPr>
            <w:r>
              <w:rPr>
                <w:spacing w:val="6"/>
                <w:szCs w:val="24"/>
              </w:rPr>
              <w:t>Dan Dodge</w:t>
            </w:r>
          </w:p>
        </w:tc>
        <w:tc>
          <w:tcPr>
            <w:tcW w:w="4266" w:type="dxa"/>
          </w:tcPr>
          <w:p w14:paraId="41E93822" w14:textId="6F0DF5FE" w:rsidR="00B2498A" w:rsidRDefault="00C65E62" w:rsidP="00E034AA">
            <w:pPr>
              <w:spacing w:after="0"/>
              <w:rPr>
                <w:rFonts w:cs="Arial"/>
                <w:szCs w:val="24"/>
              </w:rPr>
            </w:pPr>
            <w:hyperlink r:id="rId8" w:history="1">
              <w:r w:rsidR="00164DE1" w:rsidRPr="00B8666C">
                <w:rPr>
                  <w:rStyle w:val="Hyperlink"/>
                  <w:rFonts w:cs="Arial"/>
                  <w:szCs w:val="24"/>
                </w:rPr>
                <w:t>Christopher.Cimafranca@state.mn.us</w:t>
              </w:r>
            </w:hyperlink>
          </w:p>
          <w:p w14:paraId="1EFACA90" w14:textId="77777777" w:rsidR="00E034AA" w:rsidRPr="0030691B" w:rsidRDefault="00E034AA" w:rsidP="00E034AA">
            <w:pPr>
              <w:spacing w:after="0"/>
              <w:rPr>
                <w:rFonts w:cs="Arial"/>
                <w:szCs w:val="24"/>
              </w:rPr>
            </w:pPr>
          </w:p>
          <w:p w14:paraId="7725F489" w14:textId="68CDF644" w:rsidR="00E034AA" w:rsidRDefault="00C65E62" w:rsidP="00E034AA">
            <w:pPr>
              <w:spacing w:after="0"/>
              <w:rPr>
                <w:szCs w:val="24"/>
              </w:rPr>
            </w:pPr>
            <w:hyperlink r:id="rId9" w:history="1">
              <w:r w:rsidR="00FE7C6D" w:rsidRPr="001A4FF0">
                <w:rPr>
                  <w:rStyle w:val="Hyperlink"/>
                  <w:szCs w:val="24"/>
                </w:rPr>
                <w:t>boucherstephanierae@gmail.com</w:t>
              </w:r>
            </w:hyperlink>
          </w:p>
          <w:p w14:paraId="0F96F2FB" w14:textId="77777777" w:rsidR="00E034AA" w:rsidRPr="0030691B" w:rsidRDefault="00E034AA" w:rsidP="00E034AA">
            <w:pPr>
              <w:spacing w:after="0"/>
              <w:rPr>
                <w:szCs w:val="24"/>
              </w:rPr>
            </w:pPr>
          </w:p>
          <w:p w14:paraId="705A4BC3" w14:textId="7E8E079D" w:rsidR="00E034AA" w:rsidRPr="0030691B" w:rsidRDefault="00C65E62" w:rsidP="00E034AA">
            <w:pPr>
              <w:spacing w:after="0"/>
              <w:rPr>
                <w:rFonts w:cs="Arial"/>
                <w:szCs w:val="24"/>
              </w:rPr>
            </w:pPr>
            <w:hyperlink r:id="rId10" w:history="1">
              <w:r w:rsidR="00E034AA" w:rsidRPr="0030691B">
                <w:rPr>
                  <w:rStyle w:val="Hyperlink"/>
                  <w:rFonts w:cs="Arial"/>
                  <w:szCs w:val="24"/>
                </w:rPr>
                <w:t>dan.j.dodge@gmail.com</w:t>
              </w:r>
            </w:hyperlink>
            <w:r w:rsidR="00E034AA" w:rsidRPr="0030691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9EC44E7" w14:textId="27D638CD" w:rsidR="00B2498A" w:rsidRPr="0030691B" w:rsidRDefault="00164DE1" w:rsidP="000E3878">
            <w:pPr>
              <w:spacing w:after="0"/>
              <w:jc w:val="center"/>
              <w:rPr>
                <w:rFonts w:cs="Arial"/>
                <w:szCs w:val="24"/>
              </w:rPr>
            </w:pPr>
            <w:r w:rsidRPr="00164DE1">
              <w:rPr>
                <w:rFonts w:cs="Arial"/>
                <w:szCs w:val="24"/>
              </w:rPr>
              <w:t>(651) 431-4142</w:t>
            </w:r>
          </w:p>
          <w:p w14:paraId="7105E6E7" w14:textId="77777777" w:rsidR="00EC5073" w:rsidRPr="0030691B" w:rsidRDefault="00EC5073" w:rsidP="000E3878">
            <w:pPr>
              <w:spacing w:after="0"/>
              <w:jc w:val="center"/>
              <w:rPr>
                <w:rFonts w:cs="Arial"/>
                <w:szCs w:val="24"/>
              </w:rPr>
            </w:pPr>
          </w:p>
          <w:p w14:paraId="60B5CA34" w14:textId="3DA65114" w:rsidR="00EC5073" w:rsidRPr="0030691B" w:rsidRDefault="00EC5073" w:rsidP="00EC5073">
            <w:pPr>
              <w:spacing w:after="0"/>
              <w:rPr>
                <w:rFonts w:cs="Arial"/>
                <w:szCs w:val="24"/>
              </w:rPr>
            </w:pPr>
            <w:r w:rsidRPr="0030691B">
              <w:rPr>
                <w:rFonts w:cs="Arial"/>
                <w:szCs w:val="24"/>
              </w:rPr>
              <w:t xml:space="preserve">   (612) 413-8633</w:t>
            </w:r>
          </w:p>
          <w:p w14:paraId="0B89AFFF" w14:textId="77777777" w:rsidR="00EC5073" w:rsidRPr="0030691B" w:rsidRDefault="00EC5073" w:rsidP="0030691B">
            <w:pPr>
              <w:spacing w:after="0"/>
              <w:rPr>
                <w:rFonts w:cs="Arial"/>
                <w:szCs w:val="24"/>
              </w:rPr>
            </w:pPr>
          </w:p>
          <w:p w14:paraId="53195892" w14:textId="6693E5A2" w:rsidR="00EC5073" w:rsidRPr="0030691B" w:rsidRDefault="00EC5073" w:rsidP="000E3878">
            <w:pPr>
              <w:spacing w:after="0"/>
              <w:jc w:val="center"/>
              <w:rPr>
                <w:rFonts w:cs="Arial"/>
                <w:szCs w:val="24"/>
              </w:rPr>
            </w:pPr>
            <w:r w:rsidRPr="0030691B">
              <w:rPr>
                <w:rFonts w:cs="Arial"/>
                <w:szCs w:val="24"/>
              </w:rPr>
              <w:t>(715) 441-2058</w:t>
            </w:r>
          </w:p>
        </w:tc>
      </w:tr>
    </w:tbl>
    <w:p w14:paraId="3E26124E" w14:textId="7204E753" w:rsidR="002D318D" w:rsidRPr="000E3878" w:rsidRDefault="004F1BCD" w:rsidP="000E3878">
      <w:pPr>
        <w:spacing w:after="0"/>
      </w:pPr>
      <w:r>
        <w:br w:type="page"/>
      </w:r>
      <w:r w:rsidR="002D318D" w:rsidRPr="000E3878">
        <w:lastRenderedPageBreak/>
        <w:t>(Underscoring denotes wording inserted (</w:t>
      </w:r>
      <w:r w:rsidR="002D318D" w:rsidRPr="000E3878">
        <w:rPr>
          <w:u w:val="single"/>
        </w:rPr>
        <w:t>inserted wording</w:t>
      </w:r>
      <w:r w:rsidR="002D318D" w:rsidRPr="000E3878">
        <w:t xml:space="preserve">), and strike-through denotes wording </w:t>
      </w:r>
      <w:r w:rsidR="00ED6505">
        <w:t>d</w:t>
      </w:r>
      <w:r w:rsidR="002D318D" w:rsidRPr="000E3878">
        <w:t>eleted (</w:t>
      </w:r>
      <w:r w:rsidR="002D318D" w:rsidRPr="000E3878">
        <w:rPr>
          <w:strike/>
        </w:rPr>
        <w:t>deleted wording</w:t>
      </w:r>
      <w:r w:rsidR="002D318D" w:rsidRPr="000E3878">
        <w:t>).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D318D" w:rsidRPr="006A59DB" w14:paraId="216D3DDB" w14:textId="77777777" w:rsidTr="00137C0D">
        <w:trPr>
          <w:trHeight w:val="125"/>
        </w:trPr>
        <w:tc>
          <w:tcPr>
            <w:tcW w:w="5400" w:type="dxa"/>
          </w:tcPr>
          <w:p w14:paraId="5599008B" w14:textId="77777777" w:rsidR="002D318D" w:rsidRPr="000E3878" w:rsidRDefault="008670E0" w:rsidP="000E3878">
            <w:pPr>
              <w:pStyle w:val="Heading2"/>
            </w:pPr>
            <w:r w:rsidRPr="000E3878">
              <w:t xml:space="preserve">What is being amended? </w:t>
            </w:r>
          </w:p>
        </w:tc>
        <w:tc>
          <w:tcPr>
            <w:tcW w:w="5400" w:type="dxa"/>
          </w:tcPr>
          <w:p w14:paraId="69B6B5E7" w14:textId="77777777" w:rsidR="002D318D" w:rsidRPr="000E3878" w:rsidRDefault="002D318D" w:rsidP="000E3878">
            <w:pPr>
              <w:pStyle w:val="Heading2"/>
            </w:pPr>
            <w:r w:rsidRPr="000E3878">
              <w:t>Resulting</w:t>
            </w:r>
            <w:r w:rsidR="000E68F5" w:rsidRPr="000E3878">
              <w:t xml:space="preserve"> </w:t>
            </w:r>
            <w:r w:rsidRPr="000E3878">
              <w:t>Language</w:t>
            </w:r>
          </w:p>
        </w:tc>
      </w:tr>
      <w:tr w:rsidR="002D318D" w:rsidRPr="006A59DB" w14:paraId="77348DE5" w14:textId="77777777" w:rsidTr="00137C0D">
        <w:tc>
          <w:tcPr>
            <w:tcW w:w="5400" w:type="dxa"/>
          </w:tcPr>
          <w:p w14:paraId="2F8C22F2" w14:textId="77777777" w:rsidR="00ED6505" w:rsidRDefault="00ED6505" w:rsidP="00ED6505">
            <w:pPr>
              <w:pStyle w:val="Heading1"/>
            </w:pPr>
            <w:r>
              <w:t>Election Rules</w:t>
            </w:r>
          </w:p>
          <w:p w14:paraId="598F7E62" w14:textId="27E5A232" w:rsidR="00ED6505" w:rsidRPr="005D62B8" w:rsidRDefault="00ED6505" w:rsidP="00ED6505">
            <w:pPr>
              <w:pStyle w:val="Heading1"/>
            </w:pPr>
            <w:r w:rsidRPr="005D62B8">
              <w:t>Article III</w:t>
            </w:r>
          </w:p>
          <w:p w14:paraId="70F0671E" w14:textId="77777777" w:rsidR="00ED6505" w:rsidRPr="005D62B8" w:rsidRDefault="00ED6505" w:rsidP="00ED6505">
            <w:pPr>
              <w:pStyle w:val="Heading1"/>
            </w:pPr>
            <w:r w:rsidRPr="005D62B8">
              <w:t>Nominations</w:t>
            </w:r>
          </w:p>
          <w:p w14:paraId="51B0CADB" w14:textId="77777777" w:rsidR="00ED6505" w:rsidRPr="005D62B8" w:rsidRDefault="00ED6505" w:rsidP="00ED650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120"/>
              <w:contextualSpacing w:val="0"/>
            </w:pPr>
            <w:r w:rsidRPr="005D62B8">
              <w:rPr>
                <w:b/>
              </w:rPr>
              <w:t>Nominees</w:t>
            </w:r>
            <w:r w:rsidRPr="005D62B8">
              <w:t xml:space="preserve">. The </w:t>
            </w:r>
            <w:r>
              <w:t>Nominations</w:t>
            </w:r>
            <w:r w:rsidRPr="005D62B8">
              <w:t xml:space="preserve"> Committee </w:t>
            </w:r>
            <w:r>
              <w:t xml:space="preserve">and local nominations committees </w:t>
            </w:r>
            <w:r w:rsidRPr="005D62B8">
              <w:t>shall seek out and encourage qualified persons to run for elective positions.</w:t>
            </w:r>
          </w:p>
          <w:p w14:paraId="06630F33" w14:textId="77777777" w:rsidR="00ED6505" w:rsidRPr="005D62B8" w:rsidRDefault="00ED6505" w:rsidP="00ED650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120"/>
              <w:contextualSpacing w:val="0"/>
            </w:pPr>
            <w:r w:rsidRPr="005D62B8">
              <w:rPr>
                <w:b/>
              </w:rPr>
              <w:t>Conditions of Candidacy</w:t>
            </w:r>
            <w:r w:rsidRPr="005D62B8">
              <w:t>. Members must meet the eligibility requirements defined in MAPE Bylaws (ELECTIONS AND VACANCIES</w:t>
            </w:r>
            <w:r>
              <w:t xml:space="preserve">, </w:t>
            </w:r>
            <w:r w:rsidRPr="005D62B8">
              <w:t>Eligibility).</w:t>
            </w:r>
          </w:p>
          <w:p w14:paraId="214AD0A0" w14:textId="77777777" w:rsidR="00ED6505" w:rsidRPr="005D62B8" w:rsidRDefault="00ED6505" w:rsidP="00ED650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120"/>
              <w:contextualSpacing w:val="0"/>
            </w:pPr>
            <w:r w:rsidRPr="005D62B8">
              <w:rPr>
                <w:b/>
              </w:rPr>
              <w:t>Nomination Procedure</w:t>
            </w:r>
            <w:r w:rsidRPr="005D62B8">
              <w:t>.</w:t>
            </w:r>
          </w:p>
          <w:p w14:paraId="3C4273E3" w14:textId="103E6106" w:rsidR="00ED6505" w:rsidRPr="00ED6505" w:rsidRDefault="00ED6505" w:rsidP="00ED6505">
            <w:pPr>
              <w:pStyle w:val="ListParagraph"/>
              <w:numPr>
                <w:ilvl w:val="1"/>
                <w:numId w:val="3"/>
              </w:numPr>
              <w:rPr>
                <w:u w:val="single"/>
              </w:rPr>
            </w:pPr>
            <w:r w:rsidRPr="005D62B8">
              <w:t xml:space="preserve">Nominations for local positions shall be submitted by </w:t>
            </w:r>
            <w:r>
              <w:t xml:space="preserve">the local nominations committee or individual </w:t>
            </w:r>
            <w:r w:rsidRPr="005D62B8">
              <w:t xml:space="preserve">members to the local election committee in writing. </w:t>
            </w:r>
            <w:r>
              <w:t>T</w:t>
            </w:r>
            <w:r w:rsidRPr="005D62B8">
              <w:t>he local election committee shall forward the nominations to the Elections Committee.</w:t>
            </w:r>
            <w:r>
              <w:t xml:space="preserve"> </w:t>
            </w:r>
            <w:r w:rsidRPr="00ED6505">
              <w:rPr>
                <w:u w:val="single"/>
              </w:rPr>
              <w:t xml:space="preserve">Individual members may only nominate a member from their local. </w:t>
            </w:r>
          </w:p>
          <w:p w14:paraId="441CD9A7" w14:textId="77777777" w:rsidR="00ED6505" w:rsidRDefault="00ED6505" w:rsidP="00ED6505">
            <w:pPr>
              <w:pStyle w:val="ListParagraph"/>
            </w:pPr>
          </w:p>
          <w:p w14:paraId="7ACDB375" w14:textId="21D6B788" w:rsidR="00ED6505" w:rsidRPr="00ED6505" w:rsidRDefault="00ED6505" w:rsidP="00ED6505">
            <w:pPr>
              <w:pStyle w:val="ListParagraph"/>
              <w:numPr>
                <w:ilvl w:val="1"/>
                <w:numId w:val="3"/>
              </w:numPr>
              <w:rPr>
                <w:u w:val="single"/>
              </w:rPr>
            </w:pPr>
            <w:r w:rsidRPr="005D62B8">
              <w:t>Nominations for regional positions shall be submitted by</w:t>
            </w:r>
            <w:r>
              <w:t xml:space="preserve"> the Nominations Committee or by individual</w:t>
            </w:r>
            <w:r w:rsidRPr="005D62B8">
              <w:t xml:space="preserve"> members to the Elections Committee in writing.</w:t>
            </w:r>
            <w:r>
              <w:t xml:space="preserve"> </w:t>
            </w:r>
            <w:r w:rsidRPr="00ED6505">
              <w:rPr>
                <w:u w:val="single"/>
              </w:rPr>
              <w:t xml:space="preserve">Individual members may only nominate a member from their region. </w:t>
            </w:r>
          </w:p>
          <w:p w14:paraId="02D534FF" w14:textId="77777777" w:rsidR="00ED6505" w:rsidRDefault="00ED6505" w:rsidP="00ED6505">
            <w:pPr>
              <w:pStyle w:val="ListParagraph"/>
            </w:pPr>
          </w:p>
          <w:p w14:paraId="406A79D4" w14:textId="69D5D54F" w:rsidR="00ED6505" w:rsidRPr="005D62B8" w:rsidRDefault="00ED6505" w:rsidP="00ED6505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</w:tabs>
              <w:spacing w:after="120"/>
            </w:pPr>
            <w:r w:rsidRPr="005D62B8">
              <w:t xml:space="preserve">Nominations for statewide positions shall be submitted by </w:t>
            </w:r>
            <w:r>
              <w:t xml:space="preserve">the Nominations Committee or individual </w:t>
            </w:r>
            <w:r w:rsidRPr="005D62B8">
              <w:t>members to the Elections Committee in writing.</w:t>
            </w:r>
          </w:p>
          <w:p w14:paraId="11D23541" w14:textId="5BB85895" w:rsidR="00F868FA" w:rsidRPr="002C1A2C" w:rsidRDefault="00F868FA" w:rsidP="00F868FA">
            <w:pPr>
              <w:pStyle w:val="IndentedText"/>
              <w:ind w:left="0"/>
            </w:pPr>
          </w:p>
        </w:tc>
        <w:tc>
          <w:tcPr>
            <w:tcW w:w="5400" w:type="dxa"/>
          </w:tcPr>
          <w:p w14:paraId="4D800B1A" w14:textId="77777777" w:rsidR="00ED6505" w:rsidRDefault="00ED6505" w:rsidP="00ED6505">
            <w:pPr>
              <w:pStyle w:val="Heading1"/>
            </w:pPr>
            <w:r>
              <w:t>Election Rules</w:t>
            </w:r>
          </w:p>
          <w:p w14:paraId="4436BDAF" w14:textId="77777777" w:rsidR="00ED6505" w:rsidRPr="005D62B8" w:rsidRDefault="00ED6505" w:rsidP="00ED6505">
            <w:pPr>
              <w:pStyle w:val="Heading1"/>
            </w:pPr>
            <w:r w:rsidRPr="005D62B8">
              <w:t>Article III</w:t>
            </w:r>
          </w:p>
          <w:p w14:paraId="0317C93B" w14:textId="77777777" w:rsidR="00ED6505" w:rsidRPr="005D62B8" w:rsidRDefault="00ED6505" w:rsidP="00ED6505">
            <w:pPr>
              <w:pStyle w:val="Heading1"/>
            </w:pPr>
            <w:r w:rsidRPr="005D62B8">
              <w:t>Nominations</w:t>
            </w:r>
          </w:p>
          <w:p w14:paraId="428F8A11" w14:textId="77777777" w:rsidR="00ED6505" w:rsidRPr="005D62B8" w:rsidRDefault="00ED6505" w:rsidP="00ED650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120"/>
              <w:contextualSpacing w:val="0"/>
            </w:pPr>
            <w:r w:rsidRPr="005D62B8">
              <w:rPr>
                <w:b/>
              </w:rPr>
              <w:t>Nominees</w:t>
            </w:r>
            <w:r w:rsidRPr="005D62B8">
              <w:t xml:space="preserve">. The </w:t>
            </w:r>
            <w:r>
              <w:t>Nominations</w:t>
            </w:r>
            <w:r w:rsidRPr="005D62B8">
              <w:t xml:space="preserve"> Committee </w:t>
            </w:r>
            <w:r>
              <w:t xml:space="preserve">and local nominations committees </w:t>
            </w:r>
            <w:r w:rsidRPr="005D62B8">
              <w:t>shall seek out and encourage qualified persons to run for elective positions.</w:t>
            </w:r>
          </w:p>
          <w:p w14:paraId="17B07969" w14:textId="77777777" w:rsidR="00ED6505" w:rsidRPr="005D62B8" w:rsidRDefault="00ED6505" w:rsidP="00ED650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120"/>
              <w:contextualSpacing w:val="0"/>
            </w:pPr>
            <w:r w:rsidRPr="005D62B8">
              <w:rPr>
                <w:b/>
              </w:rPr>
              <w:t>Conditions of Candidacy</w:t>
            </w:r>
            <w:r w:rsidRPr="005D62B8">
              <w:t>. Members must meet the eligibility requirements defined in MAPE Bylaws (ELECTIONS AND VACANCIES</w:t>
            </w:r>
            <w:r>
              <w:t xml:space="preserve">, </w:t>
            </w:r>
            <w:r w:rsidRPr="005D62B8">
              <w:t>Eligibility).</w:t>
            </w:r>
          </w:p>
          <w:p w14:paraId="682E6358" w14:textId="77777777" w:rsidR="00ED6505" w:rsidRPr="005D62B8" w:rsidRDefault="00ED6505" w:rsidP="00ED650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120"/>
              <w:contextualSpacing w:val="0"/>
            </w:pPr>
            <w:r w:rsidRPr="005D62B8">
              <w:rPr>
                <w:b/>
              </w:rPr>
              <w:t>Nomination Procedure</w:t>
            </w:r>
            <w:r w:rsidRPr="005D62B8">
              <w:t>.</w:t>
            </w:r>
          </w:p>
          <w:p w14:paraId="56A61BA2" w14:textId="77777777" w:rsidR="00ED6505" w:rsidRDefault="00ED6505" w:rsidP="00ED6505">
            <w:pPr>
              <w:pStyle w:val="ListParagraph"/>
              <w:numPr>
                <w:ilvl w:val="1"/>
                <w:numId w:val="3"/>
              </w:numPr>
            </w:pPr>
            <w:r w:rsidRPr="005D62B8">
              <w:t xml:space="preserve">Nominations for local positions shall be submitted by </w:t>
            </w:r>
            <w:r>
              <w:t xml:space="preserve">the local nominations committee or individual </w:t>
            </w:r>
            <w:r w:rsidRPr="005D62B8">
              <w:t xml:space="preserve">members to the local election committee in writing. </w:t>
            </w:r>
            <w:r>
              <w:t>T</w:t>
            </w:r>
            <w:r w:rsidRPr="005D62B8">
              <w:t>he local election committee shall forward the nominations to the Elections Committee.</w:t>
            </w:r>
            <w:r>
              <w:t xml:space="preserve"> Individual members may only nominate a member from their local. </w:t>
            </w:r>
          </w:p>
          <w:p w14:paraId="3D7EE893" w14:textId="77777777" w:rsidR="00ED6505" w:rsidRDefault="00ED6505" w:rsidP="00ED6505">
            <w:pPr>
              <w:pStyle w:val="ListParagraph"/>
            </w:pPr>
          </w:p>
          <w:p w14:paraId="48AD1742" w14:textId="77777777" w:rsidR="00ED6505" w:rsidRDefault="00ED6505" w:rsidP="00ED6505">
            <w:pPr>
              <w:pStyle w:val="ListParagraph"/>
              <w:numPr>
                <w:ilvl w:val="1"/>
                <w:numId w:val="3"/>
              </w:numPr>
            </w:pPr>
            <w:r w:rsidRPr="005D62B8">
              <w:t>Nominations for regional positions shall be submitted by</w:t>
            </w:r>
            <w:r>
              <w:t xml:space="preserve"> the Nominations Committee or by individual</w:t>
            </w:r>
            <w:r w:rsidRPr="005D62B8">
              <w:t xml:space="preserve"> members to the Elections Committee in writing.</w:t>
            </w:r>
            <w:r>
              <w:t xml:space="preserve"> Individual members may only nominate a member from their region. </w:t>
            </w:r>
          </w:p>
          <w:p w14:paraId="3362203C" w14:textId="77777777" w:rsidR="00ED6505" w:rsidRDefault="00ED6505" w:rsidP="00ED6505">
            <w:pPr>
              <w:pStyle w:val="ListParagraph"/>
            </w:pPr>
          </w:p>
          <w:p w14:paraId="567B6ECB" w14:textId="77777777" w:rsidR="00ED6505" w:rsidRPr="005D62B8" w:rsidRDefault="00ED6505" w:rsidP="00ED6505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</w:tabs>
              <w:spacing w:after="120"/>
            </w:pPr>
            <w:r w:rsidRPr="005D62B8">
              <w:t xml:space="preserve">Nominations for statewide positions shall be submitted by </w:t>
            </w:r>
            <w:r>
              <w:t xml:space="preserve">the Nominations Committee or individual </w:t>
            </w:r>
            <w:r w:rsidRPr="005D62B8">
              <w:t>members to the Elections Committee in writing.</w:t>
            </w:r>
          </w:p>
          <w:p w14:paraId="04742824" w14:textId="77777777" w:rsidR="00B2242D" w:rsidRPr="004217D9" w:rsidRDefault="00B2242D" w:rsidP="008670E0">
            <w:pPr>
              <w:ind w:left="756" w:hanging="360"/>
              <w:rPr>
                <w:rFonts w:ascii="Times New Roman" w:hAnsi="Times New Roman"/>
              </w:rPr>
            </w:pPr>
          </w:p>
        </w:tc>
      </w:tr>
    </w:tbl>
    <w:p w14:paraId="21AF28CA" w14:textId="77777777" w:rsidR="00D8239A" w:rsidRDefault="00D8239A" w:rsidP="00D8239A"/>
    <w:p w14:paraId="36347976" w14:textId="77777777" w:rsidR="008F096E" w:rsidRPr="00213754" w:rsidRDefault="008F096E" w:rsidP="000F6BC3">
      <w:pPr>
        <w:autoSpaceDE w:val="0"/>
        <w:autoSpaceDN w:val="0"/>
        <w:adjustRightInd w:val="0"/>
        <w:jc w:val="center"/>
      </w:pPr>
    </w:p>
    <w:sectPr w:rsidR="008F096E" w:rsidRPr="00213754" w:rsidSect="00137C0D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EE54" w14:textId="77777777" w:rsidR="00C65E62" w:rsidRDefault="00C65E62">
      <w:r>
        <w:separator/>
      </w:r>
    </w:p>
  </w:endnote>
  <w:endnote w:type="continuationSeparator" w:id="0">
    <w:p w14:paraId="589D6867" w14:textId="77777777" w:rsidR="00C65E62" w:rsidRDefault="00C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7F220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076E2" w14:textId="77777777" w:rsidR="004217D9" w:rsidRDefault="0042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6052" w14:textId="1F0C69F1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BF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978FE29" w14:textId="0A0E5CE0" w:rsidR="004217D9" w:rsidRDefault="00006711">
    <w:pPr>
      <w:pStyle w:val="Footer"/>
    </w:pPr>
    <w:r>
      <w:t>July 1,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1144" w14:textId="12194C6B" w:rsidR="00137C0D" w:rsidRDefault="006A774C">
    <w:pPr>
      <w:pStyle w:val="Footer"/>
    </w:pPr>
    <w:r>
      <w:t>July 1, 2021</w:t>
    </w:r>
  </w:p>
  <w:p w14:paraId="6F9562D6" w14:textId="77777777" w:rsidR="006A774C" w:rsidRDefault="006A7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59DAC" w14:textId="77777777" w:rsidR="00C65E62" w:rsidRDefault="00C65E62">
      <w:r>
        <w:separator/>
      </w:r>
    </w:p>
  </w:footnote>
  <w:footnote w:type="continuationSeparator" w:id="0">
    <w:p w14:paraId="3825DDB7" w14:textId="77777777" w:rsidR="00C65E62" w:rsidRDefault="00C6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425A" w14:textId="0F883EC6" w:rsidR="00137C0D" w:rsidRDefault="006A774C">
    <w:pPr>
      <w:pStyle w:val="Header"/>
    </w:pPr>
    <w:r>
      <w:t>Change MAPE Election Rules to Clarify Nomination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D0B52"/>
    <w:multiLevelType w:val="singleLevel"/>
    <w:tmpl w:val="A46C397C"/>
    <w:lvl w:ilvl="0">
      <w:start w:val="1"/>
      <w:numFmt w:val="upperLetter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1" w15:restartNumberingAfterBreak="0">
    <w:nsid w:val="5ED9676C"/>
    <w:multiLevelType w:val="hybridMultilevel"/>
    <w:tmpl w:val="1BC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13087"/>
    <w:multiLevelType w:val="multilevel"/>
    <w:tmpl w:val="8EB6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C0"/>
    <w:rsid w:val="00006711"/>
    <w:rsid w:val="00033E3B"/>
    <w:rsid w:val="00047191"/>
    <w:rsid w:val="000555CA"/>
    <w:rsid w:val="000624AB"/>
    <w:rsid w:val="000656E1"/>
    <w:rsid w:val="0007217C"/>
    <w:rsid w:val="00086AEC"/>
    <w:rsid w:val="000C78DD"/>
    <w:rsid w:val="000D7481"/>
    <w:rsid w:val="000E3878"/>
    <w:rsid w:val="000E65FA"/>
    <w:rsid w:val="000E68F5"/>
    <w:rsid w:val="000F6BC3"/>
    <w:rsid w:val="00107D65"/>
    <w:rsid w:val="00116944"/>
    <w:rsid w:val="00126845"/>
    <w:rsid w:val="00137C0D"/>
    <w:rsid w:val="0014730D"/>
    <w:rsid w:val="00155D01"/>
    <w:rsid w:val="00164552"/>
    <w:rsid w:val="00164DE1"/>
    <w:rsid w:val="001749B4"/>
    <w:rsid w:val="00180F21"/>
    <w:rsid w:val="00181F38"/>
    <w:rsid w:val="001B0E6E"/>
    <w:rsid w:val="001E4184"/>
    <w:rsid w:val="0021211E"/>
    <w:rsid w:val="00213754"/>
    <w:rsid w:val="00247832"/>
    <w:rsid w:val="0027067A"/>
    <w:rsid w:val="0028114A"/>
    <w:rsid w:val="00296C24"/>
    <w:rsid w:val="00296C45"/>
    <w:rsid w:val="002C1A2C"/>
    <w:rsid w:val="002D318D"/>
    <w:rsid w:val="002D3BA2"/>
    <w:rsid w:val="002D5CCC"/>
    <w:rsid w:val="002E1BD6"/>
    <w:rsid w:val="0030691B"/>
    <w:rsid w:val="00314BB0"/>
    <w:rsid w:val="003267F8"/>
    <w:rsid w:val="00363C15"/>
    <w:rsid w:val="00385A25"/>
    <w:rsid w:val="003860E7"/>
    <w:rsid w:val="003B4FBC"/>
    <w:rsid w:val="003D3A4F"/>
    <w:rsid w:val="003E30C6"/>
    <w:rsid w:val="00400DFB"/>
    <w:rsid w:val="0040619F"/>
    <w:rsid w:val="004217D9"/>
    <w:rsid w:val="004A0F9B"/>
    <w:rsid w:val="004A40B5"/>
    <w:rsid w:val="004A4658"/>
    <w:rsid w:val="004C66BA"/>
    <w:rsid w:val="004E2EFD"/>
    <w:rsid w:val="004E3E3D"/>
    <w:rsid w:val="004F1BCD"/>
    <w:rsid w:val="00512233"/>
    <w:rsid w:val="005148F6"/>
    <w:rsid w:val="005252AA"/>
    <w:rsid w:val="00525BF3"/>
    <w:rsid w:val="005267AB"/>
    <w:rsid w:val="00526896"/>
    <w:rsid w:val="00531809"/>
    <w:rsid w:val="00555954"/>
    <w:rsid w:val="00581CE4"/>
    <w:rsid w:val="00590834"/>
    <w:rsid w:val="005B6E9C"/>
    <w:rsid w:val="005F5139"/>
    <w:rsid w:val="00604CAD"/>
    <w:rsid w:val="00632144"/>
    <w:rsid w:val="00637187"/>
    <w:rsid w:val="00642C0B"/>
    <w:rsid w:val="00681A50"/>
    <w:rsid w:val="006A1A34"/>
    <w:rsid w:val="006A774C"/>
    <w:rsid w:val="006E1B05"/>
    <w:rsid w:val="006F6119"/>
    <w:rsid w:val="00713B48"/>
    <w:rsid w:val="00756027"/>
    <w:rsid w:val="007D2878"/>
    <w:rsid w:val="007D396B"/>
    <w:rsid w:val="0082033C"/>
    <w:rsid w:val="0083727B"/>
    <w:rsid w:val="008670E0"/>
    <w:rsid w:val="0088563F"/>
    <w:rsid w:val="008A6650"/>
    <w:rsid w:val="008E1E82"/>
    <w:rsid w:val="008E7683"/>
    <w:rsid w:val="008F096E"/>
    <w:rsid w:val="009318B7"/>
    <w:rsid w:val="0098535F"/>
    <w:rsid w:val="009A1A46"/>
    <w:rsid w:val="009B56C9"/>
    <w:rsid w:val="009C2420"/>
    <w:rsid w:val="009D2B32"/>
    <w:rsid w:val="009F7F4F"/>
    <w:rsid w:val="00A709C0"/>
    <w:rsid w:val="00A9528F"/>
    <w:rsid w:val="00AA1F74"/>
    <w:rsid w:val="00AC337E"/>
    <w:rsid w:val="00AC5E21"/>
    <w:rsid w:val="00AE3C68"/>
    <w:rsid w:val="00AF18ED"/>
    <w:rsid w:val="00B15AC9"/>
    <w:rsid w:val="00B2242D"/>
    <w:rsid w:val="00B2498A"/>
    <w:rsid w:val="00B421BD"/>
    <w:rsid w:val="00B53904"/>
    <w:rsid w:val="00B63587"/>
    <w:rsid w:val="00B7344C"/>
    <w:rsid w:val="00BB595A"/>
    <w:rsid w:val="00C2574B"/>
    <w:rsid w:val="00C275B5"/>
    <w:rsid w:val="00C65E62"/>
    <w:rsid w:val="00D2290D"/>
    <w:rsid w:val="00D22BAC"/>
    <w:rsid w:val="00D57BAC"/>
    <w:rsid w:val="00D60137"/>
    <w:rsid w:val="00D80C57"/>
    <w:rsid w:val="00D8239A"/>
    <w:rsid w:val="00D91353"/>
    <w:rsid w:val="00DC03D8"/>
    <w:rsid w:val="00DF63F3"/>
    <w:rsid w:val="00E034AA"/>
    <w:rsid w:val="00E161E7"/>
    <w:rsid w:val="00E2288B"/>
    <w:rsid w:val="00E2742E"/>
    <w:rsid w:val="00E675BF"/>
    <w:rsid w:val="00EB269A"/>
    <w:rsid w:val="00EB48E4"/>
    <w:rsid w:val="00EB7287"/>
    <w:rsid w:val="00EC5073"/>
    <w:rsid w:val="00ED50EE"/>
    <w:rsid w:val="00ED6505"/>
    <w:rsid w:val="00F31841"/>
    <w:rsid w:val="00F722A3"/>
    <w:rsid w:val="00F868FA"/>
    <w:rsid w:val="00FB4179"/>
    <w:rsid w:val="00FE6331"/>
    <w:rsid w:val="00FE7C6D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167B2"/>
  <w15:docId w15:val="{52ABE06D-2F55-4F35-A273-E4C531F1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78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635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3878"/>
    <w:pPr>
      <w:keepNext/>
      <w:tabs>
        <w:tab w:val="left" w:pos="9360"/>
      </w:tabs>
      <w:contextualSpacing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498A"/>
    <w:pPr>
      <w:jc w:val="center"/>
    </w:pPr>
    <w:rPr>
      <w:sz w:val="28"/>
    </w:rPr>
  </w:style>
  <w:style w:type="character" w:styleId="Hyperlink">
    <w:name w:val="Hyperlink"/>
    <w:rsid w:val="00B2498A"/>
    <w:rPr>
      <w:color w:val="0000FF"/>
      <w:u w:val="single"/>
    </w:rPr>
  </w:style>
  <w:style w:type="paragraph" w:styleId="Footer">
    <w:name w:val="footer"/>
    <w:basedOn w:val="Normal"/>
    <w:rsid w:val="000E68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8F5"/>
  </w:style>
  <w:style w:type="paragraph" w:customStyle="1" w:styleId="IndentedText">
    <w:name w:val="Indented Text"/>
    <w:basedOn w:val="Normal"/>
    <w:qFormat/>
    <w:rsid w:val="002C1A2C"/>
    <w:pPr>
      <w:ind w:left="720"/>
    </w:pPr>
  </w:style>
  <w:style w:type="paragraph" w:styleId="ListParagraph">
    <w:name w:val="List Paragraph"/>
    <w:basedOn w:val="Normal"/>
    <w:uiPriority w:val="34"/>
    <w:qFormat/>
    <w:rsid w:val="00137C0D"/>
    <w:pPr>
      <w:ind w:left="720"/>
      <w:contextualSpacing/>
    </w:pPr>
  </w:style>
  <w:style w:type="paragraph" w:styleId="Header">
    <w:name w:val="header"/>
    <w:basedOn w:val="Normal"/>
    <w:link w:val="HeaderChar"/>
    <w:rsid w:val="00137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7C0D"/>
    <w:rPr>
      <w:rFonts w:ascii="Arial" w:hAnsi="Arial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Cimafranca@state.mn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.j.dod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ucherstephanierae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A93F-9BC0-4D99-A7C1-1D29C2E1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MAPE DA RESOLUTION</vt:lpstr>
    </vt:vector>
  </TitlesOfParts>
  <Company>MN Dept of Human Services</Company>
  <LinksUpToDate>false</LinksUpToDate>
  <CharactersWithSpaces>4923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mailto:CJorgenson@mape.org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 DA RESOLUTION</dc:title>
  <dc:creator>MAPE Membership Committee</dc:creator>
  <cp:lastModifiedBy>Sargent, Rhianon (MDE)</cp:lastModifiedBy>
  <cp:revision>2</cp:revision>
  <cp:lastPrinted>2021-06-29T16:06:00Z</cp:lastPrinted>
  <dcterms:created xsi:type="dcterms:W3CDTF">2021-07-27T18:33:00Z</dcterms:created>
  <dcterms:modified xsi:type="dcterms:W3CDTF">2021-07-27T18:33:00Z</dcterms:modified>
</cp:coreProperties>
</file>