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B71" w14:textId="77777777" w:rsidR="008D3979" w:rsidRDefault="008D3979" w:rsidP="008D3979">
      <w:pPr>
        <w:spacing w:after="0" w:line="240" w:lineRule="auto"/>
      </w:pPr>
      <w:r>
        <w:t>MAPE Local 1801 Meeting</w:t>
      </w:r>
    </w:p>
    <w:p w14:paraId="23A0C711" w14:textId="177A5393" w:rsidR="008D3979" w:rsidRDefault="00382607" w:rsidP="008D3979">
      <w:pPr>
        <w:spacing w:after="0" w:line="240" w:lineRule="auto"/>
      </w:pPr>
      <w:r>
        <w:t>December 13</w:t>
      </w:r>
      <w:r w:rsidR="000506EF">
        <w:t>, 2022</w:t>
      </w:r>
    </w:p>
    <w:p w14:paraId="6A01A8EC" w14:textId="4A895BB4" w:rsidR="008D3979" w:rsidRDefault="008D3979" w:rsidP="008D3979">
      <w:pPr>
        <w:spacing w:after="0" w:line="240" w:lineRule="auto"/>
      </w:pPr>
      <w:r>
        <w:t>12:00-1:00 p.m.</w:t>
      </w:r>
    </w:p>
    <w:p w14:paraId="128FF62A" w14:textId="37E360B5" w:rsidR="00382607" w:rsidRDefault="00382607" w:rsidP="008D3979">
      <w:pPr>
        <w:spacing w:after="0" w:line="240" w:lineRule="auto"/>
      </w:pPr>
    </w:p>
    <w:p w14:paraId="2901C31E" w14:textId="61785857" w:rsidR="00382607" w:rsidRDefault="00382607" w:rsidP="008D3979">
      <w:pPr>
        <w:spacing w:after="0" w:line="240" w:lineRule="auto"/>
      </w:pPr>
      <w:r>
        <w:t>In person meeting for DNR location.</w:t>
      </w:r>
    </w:p>
    <w:p w14:paraId="5CBA4617" w14:textId="77777777" w:rsidR="008D3979" w:rsidRDefault="008D3979" w:rsidP="008D3979">
      <w:pPr>
        <w:spacing w:after="0"/>
      </w:pPr>
    </w:p>
    <w:p w14:paraId="6C9AFAC7" w14:textId="77777777" w:rsidR="008D3979" w:rsidRDefault="008D3979" w:rsidP="003F094B">
      <w:r>
        <w:t>Roll Call—</w:t>
      </w:r>
    </w:p>
    <w:tbl>
      <w:tblPr>
        <w:tblStyle w:val="TableGrid"/>
        <w:tblW w:w="0" w:type="auto"/>
        <w:tblInd w:w="360" w:type="dxa"/>
        <w:tblLook w:val="04A0" w:firstRow="1" w:lastRow="0" w:firstColumn="1" w:lastColumn="0" w:noHBand="0" w:noVBand="1"/>
      </w:tblPr>
      <w:tblGrid>
        <w:gridCol w:w="805"/>
        <w:gridCol w:w="3689"/>
        <w:gridCol w:w="721"/>
        <w:gridCol w:w="3775"/>
      </w:tblGrid>
      <w:tr w:rsidR="000506EF" w14:paraId="6DB9316D" w14:textId="77777777" w:rsidTr="000506EF">
        <w:tc>
          <w:tcPr>
            <w:tcW w:w="805" w:type="dxa"/>
          </w:tcPr>
          <w:p w14:paraId="22E05F9E" w14:textId="348EA4DB" w:rsidR="000506EF" w:rsidRDefault="000506EF" w:rsidP="008D3979">
            <w:pPr>
              <w:pStyle w:val="ListParagraph"/>
              <w:ind w:left="0"/>
            </w:pPr>
            <w:r>
              <w:t>1</w:t>
            </w:r>
            <w:r w:rsidR="003D420B">
              <w:t>5</w:t>
            </w:r>
          </w:p>
        </w:tc>
        <w:tc>
          <w:tcPr>
            <w:tcW w:w="3689" w:type="dxa"/>
          </w:tcPr>
          <w:p w14:paraId="14C0EAB2" w14:textId="5F8ECBCA" w:rsidR="000506EF" w:rsidRDefault="003D420B" w:rsidP="008D3979">
            <w:pPr>
              <w:pStyle w:val="ListParagraph"/>
              <w:ind w:left="0"/>
            </w:pPr>
            <w:r>
              <w:t>Brittany</w:t>
            </w:r>
          </w:p>
        </w:tc>
        <w:tc>
          <w:tcPr>
            <w:tcW w:w="721" w:type="dxa"/>
          </w:tcPr>
          <w:p w14:paraId="47F86E47" w14:textId="169CDFEC" w:rsidR="000506EF" w:rsidRDefault="000506EF" w:rsidP="008D3979">
            <w:pPr>
              <w:pStyle w:val="ListParagraph"/>
              <w:ind w:left="0"/>
            </w:pPr>
          </w:p>
        </w:tc>
        <w:tc>
          <w:tcPr>
            <w:tcW w:w="3775" w:type="dxa"/>
          </w:tcPr>
          <w:p w14:paraId="20AB7BCD" w14:textId="103C78D6" w:rsidR="000506EF" w:rsidRDefault="003D420B" w:rsidP="008D3979">
            <w:pPr>
              <w:pStyle w:val="ListParagraph"/>
              <w:ind w:left="0"/>
            </w:pPr>
            <w:r>
              <w:t>David- BA</w:t>
            </w:r>
          </w:p>
        </w:tc>
      </w:tr>
      <w:tr w:rsidR="000506EF" w14:paraId="3263CE33" w14:textId="77777777" w:rsidTr="000506EF">
        <w:tc>
          <w:tcPr>
            <w:tcW w:w="805" w:type="dxa"/>
          </w:tcPr>
          <w:p w14:paraId="74AA0726" w14:textId="51139B0B" w:rsidR="000506EF" w:rsidRDefault="003D420B" w:rsidP="008D3979">
            <w:pPr>
              <w:pStyle w:val="ListParagraph"/>
              <w:ind w:left="0"/>
            </w:pPr>
            <w:r>
              <w:t>5</w:t>
            </w:r>
          </w:p>
        </w:tc>
        <w:tc>
          <w:tcPr>
            <w:tcW w:w="3689" w:type="dxa"/>
          </w:tcPr>
          <w:p w14:paraId="39E13404" w14:textId="00EF33B8" w:rsidR="000506EF" w:rsidRDefault="003D420B" w:rsidP="008D3979">
            <w:pPr>
              <w:pStyle w:val="ListParagraph"/>
              <w:ind w:left="0"/>
            </w:pPr>
            <w:r>
              <w:t>Taralee</w:t>
            </w:r>
          </w:p>
        </w:tc>
        <w:tc>
          <w:tcPr>
            <w:tcW w:w="721" w:type="dxa"/>
          </w:tcPr>
          <w:p w14:paraId="0F9556FF" w14:textId="5726F56E" w:rsidR="000506EF" w:rsidRDefault="003D420B" w:rsidP="008D3979">
            <w:pPr>
              <w:pStyle w:val="ListParagraph"/>
              <w:ind w:left="0"/>
            </w:pPr>
            <w:r>
              <w:t>1</w:t>
            </w:r>
          </w:p>
        </w:tc>
        <w:tc>
          <w:tcPr>
            <w:tcW w:w="3775" w:type="dxa"/>
          </w:tcPr>
          <w:p w14:paraId="6F372A6F" w14:textId="602CD404" w:rsidR="000506EF" w:rsidRDefault="003D420B" w:rsidP="008D3979">
            <w:pPr>
              <w:pStyle w:val="ListParagraph"/>
              <w:ind w:left="0"/>
            </w:pPr>
            <w:r>
              <w:t xml:space="preserve">Anne </w:t>
            </w:r>
          </w:p>
        </w:tc>
      </w:tr>
      <w:tr w:rsidR="000506EF" w14:paraId="3A057F1B" w14:textId="77777777" w:rsidTr="000506EF">
        <w:tc>
          <w:tcPr>
            <w:tcW w:w="805" w:type="dxa"/>
          </w:tcPr>
          <w:p w14:paraId="39EA4754" w14:textId="40B3A27C" w:rsidR="000506EF" w:rsidRDefault="000506EF" w:rsidP="008D3979">
            <w:pPr>
              <w:pStyle w:val="ListParagraph"/>
              <w:ind w:left="0"/>
            </w:pPr>
            <w:r>
              <w:t>16</w:t>
            </w:r>
          </w:p>
        </w:tc>
        <w:tc>
          <w:tcPr>
            <w:tcW w:w="3689" w:type="dxa"/>
          </w:tcPr>
          <w:p w14:paraId="6BBF4252" w14:textId="7B634606" w:rsidR="000506EF" w:rsidRDefault="003D420B" w:rsidP="008D3979">
            <w:pPr>
              <w:pStyle w:val="ListParagraph"/>
              <w:ind w:left="0"/>
            </w:pPr>
            <w:r>
              <w:t>Nate</w:t>
            </w:r>
          </w:p>
        </w:tc>
        <w:tc>
          <w:tcPr>
            <w:tcW w:w="721" w:type="dxa"/>
          </w:tcPr>
          <w:p w14:paraId="236037B5" w14:textId="4A676DF7" w:rsidR="000506EF" w:rsidRDefault="003D420B" w:rsidP="008D3979">
            <w:pPr>
              <w:pStyle w:val="ListParagraph"/>
              <w:ind w:left="0"/>
            </w:pPr>
            <w:r>
              <w:t>10</w:t>
            </w:r>
          </w:p>
        </w:tc>
        <w:tc>
          <w:tcPr>
            <w:tcW w:w="3775" w:type="dxa"/>
          </w:tcPr>
          <w:p w14:paraId="3D45CE3B" w14:textId="41372F5C" w:rsidR="000506EF" w:rsidRDefault="003D420B" w:rsidP="008D3979">
            <w:pPr>
              <w:pStyle w:val="ListParagraph"/>
              <w:ind w:left="0"/>
            </w:pPr>
            <w:r>
              <w:t>Gretchen</w:t>
            </w:r>
          </w:p>
        </w:tc>
      </w:tr>
      <w:tr w:rsidR="000506EF" w14:paraId="07DB1C03" w14:textId="77777777" w:rsidTr="000506EF">
        <w:tc>
          <w:tcPr>
            <w:tcW w:w="805" w:type="dxa"/>
          </w:tcPr>
          <w:p w14:paraId="7FEA0832" w14:textId="5DB152D1" w:rsidR="000506EF" w:rsidRDefault="003D420B" w:rsidP="008D3979">
            <w:pPr>
              <w:pStyle w:val="ListParagraph"/>
              <w:ind w:left="0"/>
            </w:pPr>
            <w:r>
              <w:t>9</w:t>
            </w:r>
          </w:p>
        </w:tc>
        <w:tc>
          <w:tcPr>
            <w:tcW w:w="3689" w:type="dxa"/>
          </w:tcPr>
          <w:p w14:paraId="50495AC0" w14:textId="36254C6F" w:rsidR="000506EF" w:rsidRDefault="003D420B" w:rsidP="008D3979">
            <w:pPr>
              <w:pStyle w:val="ListParagraph"/>
              <w:ind w:left="0"/>
            </w:pPr>
            <w:r>
              <w:t>Molly</w:t>
            </w:r>
          </w:p>
        </w:tc>
        <w:tc>
          <w:tcPr>
            <w:tcW w:w="721" w:type="dxa"/>
          </w:tcPr>
          <w:p w14:paraId="292B69DE" w14:textId="7CF26FBF" w:rsidR="000506EF" w:rsidRDefault="003D420B" w:rsidP="008D3979">
            <w:pPr>
              <w:pStyle w:val="ListParagraph"/>
              <w:ind w:left="0"/>
            </w:pPr>
            <w:r>
              <w:t>2</w:t>
            </w:r>
          </w:p>
        </w:tc>
        <w:tc>
          <w:tcPr>
            <w:tcW w:w="3775" w:type="dxa"/>
          </w:tcPr>
          <w:p w14:paraId="018935A1" w14:textId="09CC37BB" w:rsidR="000506EF" w:rsidRDefault="003D420B" w:rsidP="008D3979">
            <w:pPr>
              <w:pStyle w:val="ListParagraph"/>
              <w:ind w:left="0"/>
            </w:pPr>
            <w:r>
              <w:t>Krista Howk</w:t>
            </w:r>
          </w:p>
        </w:tc>
      </w:tr>
      <w:tr w:rsidR="000506EF" w14:paraId="72AE08D6" w14:textId="77777777" w:rsidTr="000506EF">
        <w:tc>
          <w:tcPr>
            <w:tcW w:w="805" w:type="dxa"/>
          </w:tcPr>
          <w:p w14:paraId="7BCE4D3E" w14:textId="18A33D8E" w:rsidR="000506EF" w:rsidRDefault="003D420B" w:rsidP="008D3979">
            <w:pPr>
              <w:pStyle w:val="ListParagraph"/>
              <w:ind w:left="0"/>
            </w:pPr>
            <w:r>
              <w:t>17</w:t>
            </w:r>
          </w:p>
        </w:tc>
        <w:tc>
          <w:tcPr>
            <w:tcW w:w="3689" w:type="dxa"/>
          </w:tcPr>
          <w:p w14:paraId="34764B08" w14:textId="5552F80E" w:rsidR="000506EF" w:rsidRDefault="003D420B" w:rsidP="008D3979">
            <w:pPr>
              <w:pStyle w:val="ListParagraph"/>
              <w:ind w:left="0"/>
            </w:pPr>
            <w:r>
              <w:t>Ellen</w:t>
            </w:r>
          </w:p>
        </w:tc>
        <w:tc>
          <w:tcPr>
            <w:tcW w:w="721" w:type="dxa"/>
          </w:tcPr>
          <w:p w14:paraId="39294BBF" w14:textId="0FA3CB89" w:rsidR="000506EF" w:rsidRDefault="003D420B" w:rsidP="008D3979">
            <w:pPr>
              <w:pStyle w:val="ListParagraph"/>
              <w:ind w:left="0"/>
            </w:pPr>
            <w:r>
              <w:t>11</w:t>
            </w:r>
          </w:p>
        </w:tc>
        <w:tc>
          <w:tcPr>
            <w:tcW w:w="3775" w:type="dxa"/>
          </w:tcPr>
          <w:p w14:paraId="004BB010" w14:textId="47462DAD" w:rsidR="000506EF" w:rsidRDefault="003D420B" w:rsidP="008D3979">
            <w:pPr>
              <w:pStyle w:val="ListParagraph"/>
              <w:ind w:left="0"/>
            </w:pPr>
            <w:r>
              <w:t>Dave Van Watermeulen</w:t>
            </w:r>
          </w:p>
        </w:tc>
      </w:tr>
      <w:tr w:rsidR="000506EF" w14:paraId="386F7C01" w14:textId="77777777" w:rsidTr="000506EF">
        <w:tc>
          <w:tcPr>
            <w:tcW w:w="805" w:type="dxa"/>
          </w:tcPr>
          <w:p w14:paraId="1995EE56" w14:textId="029CF0DC" w:rsidR="000506EF" w:rsidRDefault="003D420B" w:rsidP="008D3979">
            <w:pPr>
              <w:pStyle w:val="ListParagraph"/>
              <w:ind w:left="0"/>
            </w:pPr>
            <w:r>
              <w:t>7</w:t>
            </w:r>
          </w:p>
        </w:tc>
        <w:tc>
          <w:tcPr>
            <w:tcW w:w="3689" w:type="dxa"/>
          </w:tcPr>
          <w:p w14:paraId="27E50D05" w14:textId="609771C9" w:rsidR="000506EF" w:rsidRDefault="003D420B" w:rsidP="008D3979">
            <w:pPr>
              <w:pStyle w:val="ListParagraph"/>
              <w:ind w:left="0"/>
            </w:pPr>
            <w:r>
              <w:t>Ben</w:t>
            </w:r>
          </w:p>
        </w:tc>
        <w:tc>
          <w:tcPr>
            <w:tcW w:w="721" w:type="dxa"/>
          </w:tcPr>
          <w:p w14:paraId="19314000" w14:textId="19C3F9F3" w:rsidR="000506EF" w:rsidRDefault="003D420B" w:rsidP="008D3979">
            <w:pPr>
              <w:pStyle w:val="ListParagraph"/>
              <w:ind w:left="0"/>
            </w:pPr>
            <w:r>
              <w:t>3</w:t>
            </w:r>
          </w:p>
        </w:tc>
        <w:tc>
          <w:tcPr>
            <w:tcW w:w="3775" w:type="dxa"/>
          </w:tcPr>
          <w:p w14:paraId="117108E9" w14:textId="23447D7B" w:rsidR="000506EF" w:rsidRDefault="003D420B" w:rsidP="008D3979">
            <w:pPr>
              <w:pStyle w:val="ListParagraph"/>
              <w:ind w:left="0"/>
            </w:pPr>
            <w:r>
              <w:t>Wael Abdelkaer</w:t>
            </w:r>
          </w:p>
        </w:tc>
      </w:tr>
      <w:tr w:rsidR="000506EF" w14:paraId="5D3EA9B8" w14:textId="77777777" w:rsidTr="000506EF">
        <w:tc>
          <w:tcPr>
            <w:tcW w:w="805" w:type="dxa"/>
          </w:tcPr>
          <w:p w14:paraId="27F51665" w14:textId="269C10F1" w:rsidR="000506EF" w:rsidRDefault="003D420B" w:rsidP="008D3979">
            <w:pPr>
              <w:pStyle w:val="ListParagraph"/>
              <w:ind w:left="0"/>
            </w:pPr>
            <w:r>
              <w:t>14</w:t>
            </w:r>
          </w:p>
        </w:tc>
        <w:tc>
          <w:tcPr>
            <w:tcW w:w="3689" w:type="dxa"/>
          </w:tcPr>
          <w:p w14:paraId="0068E6FA" w14:textId="7BECD18B" w:rsidR="000506EF" w:rsidRDefault="003D420B" w:rsidP="008D3979">
            <w:pPr>
              <w:pStyle w:val="ListParagraph"/>
              <w:ind w:left="0"/>
            </w:pPr>
            <w:r>
              <w:t>Emily Douglas</w:t>
            </w:r>
          </w:p>
        </w:tc>
        <w:tc>
          <w:tcPr>
            <w:tcW w:w="721" w:type="dxa"/>
          </w:tcPr>
          <w:p w14:paraId="5371C6D5" w14:textId="775BE3C6" w:rsidR="000506EF" w:rsidRDefault="003D420B" w:rsidP="008D3979">
            <w:pPr>
              <w:pStyle w:val="ListParagraph"/>
              <w:ind w:left="0"/>
            </w:pPr>
            <w:r>
              <w:t>12</w:t>
            </w:r>
          </w:p>
        </w:tc>
        <w:tc>
          <w:tcPr>
            <w:tcW w:w="3775" w:type="dxa"/>
          </w:tcPr>
          <w:p w14:paraId="4EE5B431" w14:textId="5706BED4" w:rsidR="000506EF" w:rsidRDefault="003D420B" w:rsidP="008D3979">
            <w:pPr>
              <w:pStyle w:val="ListParagraph"/>
              <w:ind w:left="0"/>
            </w:pPr>
            <w:r>
              <w:t>Paula Paplow</w:t>
            </w:r>
          </w:p>
        </w:tc>
      </w:tr>
      <w:tr w:rsidR="000506EF" w14:paraId="4AB6F8C2" w14:textId="77777777" w:rsidTr="000506EF">
        <w:tc>
          <w:tcPr>
            <w:tcW w:w="805" w:type="dxa"/>
          </w:tcPr>
          <w:p w14:paraId="4801E397" w14:textId="36055A3D" w:rsidR="000506EF" w:rsidRDefault="003D420B" w:rsidP="008D3979">
            <w:pPr>
              <w:pStyle w:val="ListParagraph"/>
              <w:ind w:left="0"/>
            </w:pPr>
            <w:r>
              <w:t>8</w:t>
            </w:r>
          </w:p>
        </w:tc>
        <w:tc>
          <w:tcPr>
            <w:tcW w:w="3689" w:type="dxa"/>
          </w:tcPr>
          <w:p w14:paraId="0B84F957" w14:textId="2AD8D753" w:rsidR="000506EF" w:rsidRDefault="003D420B" w:rsidP="008D3979">
            <w:pPr>
              <w:pStyle w:val="ListParagraph"/>
              <w:ind w:left="0"/>
            </w:pPr>
            <w:r>
              <w:t>Nicole Bredeson</w:t>
            </w:r>
          </w:p>
        </w:tc>
        <w:tc>
          <w:tcPr>
            <w:tcW w:w="721" w:type="dxa"/>
          </w:tcPr>
          <w:p w14:paraId="075E3E26" w14:textId="37DF97A8" w:rsidR="000506EF" w:rsidRDefault="003D420B" w:rsidP="008D3979">
            <w:pPr>
              <w:pStyle w:val="ListParagraph"/>
              <w:ind w:left="0"/>
            </w:pPr>
            <w:r>
              <w:t>13</w:t>
            </w:r>
          </w:p>
        </w:tc>
        <w:tc>
          <w:tcPr>
            <w:tcW w:w="3775" w:type="dxa"/>
          </w:tcPr>
          <w:p w14:paraId="4582EC7B" w14:textId="7CF5C1AC" w:rsidR="000506EF" w:rsidRDefault="003D420B" w:rsidP="008D3979">
            <w:pPr>
              <w:pStyle w:val="ListParagraph"/>
              <w:ind w:left="0"/>
            </w:pPr>
            <w:r>
              <w:t>Lorna</w:t>
            </w:r>
          </w:p>
        </w:tc>
      </w:tr>
      <w:tr w:rsidR="00F922AA" w14:paraId="1AFEEC58" w14:textId="77777777" w:rsidTr="000506EF">
        <w:tc>
          <w:tcPr>
            <w:tcW w:w="805" w:type="dxa"/>
          </w:tcPr>
          <w:p w14:paraId="14172323" w14:textId="181A1D82" w:rsidR="00F922AA" w:rsidRDefault="003D420B" w:rsidP="008D3979">
            <w:pPr>
              <w:pStyle w:val="ListParagraph"/>
              <w:ind w:left="0"/>
            </w:pPr>
            <w:r>
              <w:t>9</w:t>
            </w:r>
          </w:p>
        </w:tc>
        <w:tc>
          <w:tcPr>
            <w:tcW w:w="3689" w:type="dxa"/>
          </w:tcPr>
          <w:p w14:paraId="56ABB900" w14:textId="463639BE" w:rsidR="00F922AA" w:rsidRDefault="003D420B" w:rsidP="008D3979">
            <w:pPr>
              <w:pStyle w:val="ListParagraph"/>
              <w:ind w:left="0"/>
            </w:pPr>
            <w:r>
              <w:t>Kaylee Ninefeldt</w:t>
            </w:r>
            <w:r w:rsidR="00031A42">
              <w:t>/Linquist</w:t>
            </w:r>
          </w:p>
        </w:tc>
        <w:tc>
          <w:tcPr>
            <w:tcW w:w="721" w:type="dxa"/>
          </w:tcPr>
          <w:p w14:paraId="14E51330" w14:textId="17C9D9B5" w:rsidR="00F922AA" w:rsidRDefault="003D420B" w:rsidP="008D3979">
            <w:pPr>
              <w:pStyle w:val="ListParagraph"/>
              <w:ind w:left="0"/>
            </w:pPr>
            <w:r>
              <w:t>4</w:t>
            </w:r>
          </w:p>
        </w:tc>
        <w:tc>
          <w:tcPr>
            <w:tcW w:w="3775" w:type="dxa"/>
          </w:tcPr>
          <w:p w14:paraId="331DD847" w14:textId="454DDB48" w:rsidR="00F922AA" w:rsidRDefault="003D420B" w:rsidP="008D3979">
            <w:pPr>
              <w:pStyle w:val="ListParagraph"/>
              <w:ind w:left="0"/>
            </w:pPr>
            <w:r>
              <w:t>jgibbs</w:t>
            </w:r>
          </w:p>
        </w:tc>
      </w:tr>
      <w:tr w:rsidR="00F922AA" w14:paraId="74DA30DB" w14:textId="77777777" w:rsidTr="000506EF">
        <w:tc>
          <w:tcPr>
            <w:tcW w:w="805" w:type="dxa"/>
          </w:tcPr>
          <w:p w14:paraId="22CE96A6" w14:textId="1778D952" w:rsidR="00F922AA" w:rsidRDefault="00F922AA" w:rsidP="008D3979">
            <w:pPr>
              <w:pStyle w:val="ListParagraph"/>
              <w:ind w:left="0"/>
            </w:pPr>
          </w:p>
        </w:tc>
        <w:tc>
          <w:tcPr>
            <w:tcW w:w="3689" w:type="dxa"/>
          </w:tcPr>
          <w:p w14:paraId="6A76106E" w14:textId="569EE82E" w:rsidR="00F922AA" w:rsidRDefault="00F922AA" w:rsidP="008D3979">
            <w:pPr>
              <w:pStyle w:val="ListParagraph"/>
              <w:ind w:left="0"/>
            </w:pPr>
          </w:p>
        </w:tc>
        <w:tc>
          <w:tcPr>
            <w:tcW w:w="721" w:type="dxa"/>
          </w:tcPr>
          <w:p w14:paraId="4E6139A8" w14:textId="2E4E8A68" w:rsidR="00F922AA" w:rsidRDefault="00F922AA" w:rsidP="008D3979">
            <w:pPr>
              <w:pStyle w:val="ListParagraph"/>
              <w:ind w:left="0"/>
            </w:pPr>
          </w:p>
        </w:tc>
        <w:tc>
          <w:tcPr>
            <w:tcW w:w="3775" w:type="dxa"/>
          </w:tcPr>
          <w:p w14:paraId="02EDB8E1" w14:textId="16A40B34" w:rsidR="00F922AA" w:rsidRDefault="00F922AA" w:rsidP="008D3979">
            <w:pPr>
              <w:pStyle w:val="ListParagraph"/>
              <w:ind w:left="0"/>
            </w:pPr>
          </w:p>
        </w:tc>
      </w:tr>
    </w:tbl>
    <w:p w14:paraId="1093931D" w14:textId="77777777" w:rsidR="008D3979" w:rsidRDefault="008D3979" w:rsidP="008D3979">
      <w:pPr>
        <w:pStyle w:val="ListParagraph"/>
        <w:ind w:left="360"/>
      </w:pPr>
    </w:p>
    <w:p w14:paraId="087F8BE4" w14:textId="77777777" w:rsidR="00D52564" w:rsidRDefault="00D52564" w:rsidP="00D52564">
      <w:pPr>
        <w:numPr>
          <w:ilvl w:val="0"/>
          <w:numId w:val="3"/>
        </w:numPr>
        <w:spacing w:after="0" w:line="240" w:lineRule="auto"/>
        <w:rPr>
          <w:rFonts w:eastAsia="Times New Roman"/>
          <w:sz w:val="24"/>
          <w:szCs w:val="24"/>
        </w:rPr>
      </w:pPr>
      <w:r>
        <w:rPr>
          <w:rFonts w:eastAsia="Times New Roman"/>
          <w:sz w:val="24"/>
          <w:szCs w:val="24"/>
        </w:rPr>
        <w:t>Report from Officers</w:t>
      </w:r>
    </w:p>
    <w:p w14:paraId="04CB0315" w14:textId="77777777" w:rsidR="008C5DB5" w:rsidRDefault="00D52564" w:rsidP="002165ED">
      <w:pPr>
        <w:numPr>
          <w:ilvl w:val="1"/>
          <w:numId w:val="3"/>
        </w:numPr>
        <w:spacing w:after="0" w:line="240" w:lineRule="auto"/>
        <w:rPr>
          <w:rFonts w:eastAsia="Times New Roman"/>
          <w:sz w:val="24"/>
          <w:szCs w:val="24"/>
        </w:rPr>
      </w:pPr>
      <w:r w:rsidRPr="008C5DB5">
        <w:rPr>
          <w:rFonts w:eastAsia="Times New Roman"/>
          <w:sz w:val="24"/>
          <w:szCs w:val="24"/>
        </w:rPr>
        <w:t>Treasurer’s report</w:t>
      </w:r>
      <w:r w:rsidR="003C0372" w:rsidRPr="008C5DB5">
        <w:rPr>
          <w:rFonts w:eastAsia="Times New Roman"/>
          <w:sz w:val="24"/>
          <w:szCs w:val="24"/>
        </w:rPr>
        <w:t xml:space="preserve">- </w:t>
      </w:r>
    </w:p>
    <w:p w14:paraId="7B5D64ED" w14:textId="05B895AF" w:rsidR="00F54911" w:rsidRPr="008C5DB5" w:rsidRDefault="00F54911" w:rsidP="008C5DB5">
      <w:pPr>
        <w:spacing w:after="0" w:line="240" w:lineRule="auto"/>
        <w:ind w:left="1440"/>
        <w:rPr>
          <w:rFonts w:eastAsia="Times New Roman"/>
          <w:sz w:val="24"/>
          <w:szCs w:val="24"/>
        </w:rPr>
      </w:pPr>
      <w:r w:rsidRPr="008C5DB5">
        <w:rPr>
          <w:rFonts w:eastAsia="Times New Roman"/>
          <w:sz w:val="24"/>
          <w:szCs w:val="24"/>
        </w:rPr>
        <w:t xml:space="preserve">Local balance </w:t>
      </w:r>
      <w:r w:rsidR="00685AEB" w:rsidRPr="008C5DB5">
        <w:rPr>
          <w:rFonts w:eastAsia="Times New Roman"/>
          <w:sz w:val="24"/>
          <w:szCs w:val="24"/>
        </w:rPr>
        <w:t>$</w:t>
      </w:r>
      <w:r w:rsidR="003D420B">
        <w:rPr>
          <w:rFonts w:eastAsia="Times New Roman"/>
          <w:sz w:val="24"/>
          <w:szCs w:val="24"/>
        </w:rPr>
        <w:t>1050</w:t>
      </w:r>
    </w:p>
    <w:p w14:paraId="48F5D5FA" w14:textId="6E67E320" w:rsidR="0012204A" w:rsidRDefault="00F54911" w:rsidP="00685AEB">
      <w:pPr>
        <w:spacing w:after="0" w:line="240" w:lineRule="auto"/>
        <w:ind w:left="1440"/>
        <w:rPr>
          <w:rFonts w:eastAsia="Times New Roman"/>
          <w:sz w:val="24"/>
          <w:szCs w:val="24"/>
        </w:rPr>
      </w:pPr>
      <w:r>
        <w:rPr>
          <w:rFonts w:eastAsia="Times New Roman"/>
          <w:sz w:val="24"/>
          <w:szCs w:val="24"/>
        </w:rPr>
        <w:t>Mape Central- $</w:t>
      </w:r>
      <w:r w:rsidR="005F04D5">
        <w:rPr>
          <w:rFonts w:eastAsia="Times New Roman"/>
          <w:sz w:val="24"/>
          <w:szCs w:val="24"/>
        </w:rPr>
        <w:t xml:space="preserve"> </w:t>
      </w:r>
      <w:r w:rsidR="0086548D">
        <w:rPr>
          <w:rFonts w:eastAsia="Times New Roman"/>
          <w:sz w:val="24"/>
          <w:szCs w:val="24"/>
        </w:rPr>
        <w:t>3</w:t>
      </w:r>
      <w:r w:rsidR="003D420B">
        <w:rPr>
          <w:rFonts w:eastAsia="Times New Roman"/>
          <w:sz w:val="24"/>
          <w:szCs w:val="24"/>
        </w:rPr>
        <w:t>484.31</w:t>
      </w:r>
    </w:p>
    <w:p w14:paraId="1A1EB7A8" w14:textId="5CC68929" w:rsidR="005328E9" w:rsidRDefault="005328E9" w:rsidP="00685AEB">
      <w:pPr>
        <w:spacing w:after="0" w:line="240" w:lineRule="auto"/>
        <w:ind w:left="1440"/>
        <w:rPr>
          <w:rFonts w:eastAsia="Times New Roman"/>
          <w:sz w:val="24"/>
          <w:szCs w:val="24"/>
        </w:rPr>
      </w:pPr>
    </w:p>
    <w:p w14:paraId="12EB1FC3" w14:textId="5C52E753" w:rsidR="0058112A" w:rsidRDefault="003D420B" w:rsidP="00685AEB">
      <w:pPr>
        <w:spacing w:after="0" w:line="240" w:lineRule="auto"/>
        <w:ind w:left="1440"/>
        <w:rPr>
          <w:rFonts w:eastAsia="Times New Roman"/>
          <w:sz w:val="24"/>
          <w:szCs w:val="24"/>
        </w:rPr>
      </w:pPr>
      <w:r>
        <w:rPr>
          <w:rFonts w:eastAsia="Times New Roman"/>
          <w:sz w:val="24"/>
          <w:szCs w:val="24"/>
        </w:rPr>
        <w:t>Still waiting on scholarship payment.</w:t>
      </w:r>
    </w:p>
    <w:p w14:paraId="7E97939B" w14:textId="77777777" w:rsidR="0086548D" w:rsidRPr="003D420B" w:rsidRDefault="0086548D" w:rsidP="003D420B">
      <w:pPr>
        <w:spacing w:after="0" w:line="240" w:lineRule="auto"/>
        <w:rPr>
          <w:rFonts w:eastAsia="Times New Roman"/>
          <w:sz w:val="24"/>
          <w:szCs w:val="24"/>
        </w:rPr>
      </w:pPr>
    </w:p>
    <w:p w14:paraId="35B6CC20" w14:textId="0DB663DA" w:rsidR="005328E9" w:rsidRDefault="0023139F" w:rsidP="008C5DB5">
      <w:pPr>
        <w:pStyle w:val="ListParagraph"/>
        <w:numPr>
          <w:ilvl w:val="0"/>
          <w:numId w:val="3"/>
        </w:numPr>
        <w:spacing w:line="240" w:lineRule="auto"/>
        <w:rPr>
          <w:rFonts w:eastAsia="Times New Roman"/>
          <w:sz w:val="24"/>
          <w:szCs w:val="24"/>
        </w:rPr>
      </w:pPr>
      <w:r w:rsidRPr="008C5DB5">
        <w:rPr>
          <w:rFonts w:eastAsia="Times New Roman"/>
          <w:sz w:val="24"/>
          <w:szCs w:val="24"/>
        </w:rPr>
        <w:t xml:space="preserve">Membership Secretary- </w:t>
      </w:r>
      <w:r w:rsidR="00AB518F">
        <w:rPr>
          <w:rFonts w:eastAsia="Times New Roman"/>
          <w:sz w:val="24"/>
          <w:szCs w:val="24"/>
        </w:rPr>
        <w:t xml:space="preserve"> Same percentages as last month, with a few new members. No dropped members.  David answered a question about percentages of rural locals versus metro.  Metro numbers are much higher.  We are doing fine for a rural local.  Connecting with new employees in our local is a challenge as we are spread over a wide area.  </w:t>
      </w:r>
      <w:r w:rsidR="00AB518F" w:rsidRPr="0048171C">
        <w:rPr>
          <w:rFonts w:eastAsia="Times New Roman"/>
          <w:i/>
          <w:iCs/>
          <w:sz w:val="24"/>
          <w:szCs w:val="24"/>
        </w:rPr>
        <w:t>Non-billable</w:t>
      </w:r>
      <w:r w:rsidR="0048171C">
        <w:rPr>
          <w:rFonts w:eastAsia="Times New Roman"/>
          <w:sz w:val="24"/>
          <w:szCs w:val="24"/>
        </w:rPr>
        <w:t xml:space="preserve"> are municipalities that are not in the state system.  </w:t>
      </w:r>
    </w:p>
    <w:p w14:paraId="45F74CCA" w14:textId="6E12C175" w:rsidR="008C5DB5" w:rsidRDefault="008C5DB5" w:rsidP="00AB518F">
      <w:pPr>
        <w:shd w:val="clear" w:color="auto" w:fill="FFFFFF"/>
        <w:ind w:firstLine="720"/>
        <w:rPr>
          <w:rFonts w:ascii="Calibri" w:hAnsi="Calibri" w:cs="Calibri"/>
          <w:sz w:val="24"/>
          <w:szCs w:val="24"/>
        </w:rPr>
      </w:pPr>
      <w:r>
        <w:rPr>
          <w:rFonts w:ascii="Calibri" w:hAnsi="Calibri" w:cs="Calibri"/>
          <w:color w:val="000000"/>
          <w:bdr w:val="none" w:sz="0" w:space="0" w:color="auto" w:frame="1"/>
        </w:rPr>
        <w:t>Combined: 58.</w:t>
      </w:r>
      <w:r w:rsidR="00AB518F">
        <w:rPr>
          <w:rFonts w:ascii="Calibri" w:hAnsi="Calibri" w:cs="Calibri"/>
          <w:color w:val="000000"/>
          <w:bdr w:val="none" w:sz="0" w:space="0" w:color="auto" w:frame="1"/>
        </w:rPr>
        <w:t>9</w:t>
      </w:r>
      <w:r>
        <w:rPr>
          <w:rFonts w:ascii="Calibri" w:hAnsi="Calibri" w:cs="Calibri"/>
          <w:color w:val="000000"/>
          <w:bdr w:val="none" w:sz="0" w:space="0" w:color="auto" w:frame="1"/>
        </w:rPr>
        <w:t xml:space="preserve"> % Members/ 41.1 % Non-Members</w:t>
      </w:r>
      <w:r>
        <w:rPr>
          <w:rFonts w:ascii="Calibri" w:hAnsi="Calibri" w:cs="Calibri"/>
          <w:color w:val="000000"/>
        </w:rPr>
        <w:t> </w:t>
      </w:r>
    </w:p>
    <w:p w14:paraId="529A88C1" w14:textId="77777777" w:rsidR="00AB518F" w:rsidRDefault="00AB518F" w:rsidP="003C0372">
      <w:pPr>
        <w:rPr>
          <w:rFonts w:ascii="Calibri" w:hAnsi="Calibri" w:cs="Calibri"/>
        </w:rPr>
      </w:pPr>
    </w:p>
    <w:p w14:paraId="1874BE1C" w14:textId="30E950F3" w:rsidR="0023139F" w:rsidRDefault="00C067A3" w:rsidP="00A64083">
      <w:pPr>
        <w:pStyle w:val="ListParagraph"/>
        <w:numPr>
          <w:ilvl w:val="0"/>
          <w:numId w:val="3"/>
        </w:numPr>
        <w:spacing w:after="0" w:line="240" w:lineRule="auto"/>
        <w:rPr>
          <w:rFonts w:eastAsia="Times New Roman"/>
        </w:rPr>
      </w:pPr>
      <w:r w:rsidRPr="0048171C">
        <w:rPr>
          <w:rFonts w:eastAsia="Times New Roman"/>
        </w:rPr>
        <w:t>BA report</w:t>
      </w:r>
      <w:r w:rsidR="00F922AA" w:rsidRPr="0048171C">
        <w:rPr>
          <w:rFonts w:eastAsia="Times New Roman"/>
        </w:rPr>
        <w:t xml:space="preserve">- David </w:t>
      </w:r>
    </w:p>
    <w:p w14:paraId="414164A5" w14:textId="60BD6DF5" w:rsidR="00764E4A" w:rsidRDefault="0048171C" w:rsidP="0048171C">
      <w:pPr>
        <w:pStyle w:val="ListParagraph"/>
        <w:spacing w:after="0" w:line="240" w:lineRule="auto"/>
        <w:rPr>
          <w:rFonts w:eastAsia="Times New Roman"/>
        </w:rPr>
      </w:pPr>
      <w:r>
        <w:rPr>
          <w:rFonts w:eastAsia="Times New Roman"/>
        </w:rPr>
        <w:t xml:space="preserve">There are 21 regions and 38 locals.  He is developing an educational series.  Art 6- Employee Right to know is especially important.  David discussed how employee initiated training for conferences, college courses (as approved by management), seminars, ect. can be covered up to full cost.  David discussed the performance review process- what can you do about inaccurate information?  1. Provide a written statement.  2. Appeal the performance evaluation (less common). It is rare to have a meaningful change in evaluation.  You don’t have the right to have MAPE rep present in an evaluation, but you do have the right during an appeal.  If a poor performance evaluation is tied to a step increase then you can grieve it.  </w:t>
      </w:r>
    </w:p>
    <w:p w14:paraId="04BEE529" w14:textId="77777777" w:rsidR="00C067A3" w:rsidRDefault="00C067A3" w:rsidP="005328E9">
      <w:pPr>
        <w:spacing w:after="0" w:line="240" w:lineRule="auto"/>
        <w:ind w:left="720"/>
        <w:rPr>
          <w:rFonts w:eastAsia="Times New Roman"/>
        </w:rPr>
      </w:pPr>
    </w:p>
    <w:p w14:paraId="7BA45208" w14:textId="4147481B" w:rsidR="00E5219B" w:rsidRPr="0048171C" w:rsidRDefault="00B11EE8" w:rsidP="00923AE3">
      <w:pPr>
        <w:pStyle w:val="ListParagraph"/>
        <w:numPr>
          <w:ilvl w:val="0"/>
          <w:numId w:val="3"/>
        </w:numPr>
        <w:spacing w:after="0" w:line="240" w:lineRule="auto"/>
        <w:rPr>
          <w:rFonts w:eastAsia="Times New Roman"/>
        </w:rPr>
      </w:pPr>
      <w:r w:rsidRPr="0048171C">
        <w:rPr>
          <w:rFonts w:eastAsia="Times New Roman"/>
        </w:rPr>
        <w:t>Negotiations Update- Gretchen</w:t>
      </w:r>
      <w:r w:rsidR="00F922AA" w:rsidRPr="0048171C">
        <w:rPr>
          <w:rFonts w:eastAsia="Times New Roman"/>
        </w:rPr>
        <w:t xml:space="preserve">- </w:t>
      </w:r>
      <w:r w:rsidR="0048171C" w:rsidRPr="0048171C">
        <w:rPr>
          <w:rFonts w:eastAsia="Times New Roman"/>
        </w:rPr>
        <w:t>If you have anything you want Gretchen to put forward, please let her know now.  CAT team meets Jan 9</w:t>
      </w:r>
      <w:r w:rsidR="0048171C" w:rsidRPr="0048171C">
        <w:rPr>
          <w:rFonts w:eastAsia="Times New Roman"/>
          <w:vertAlign w:val="superscript"/>
        </w:rPr>
        <w:t>th</w:t>
      </w:r>
      <w:r w:rsidR="0048171C" w:rsidRPr="0048171C">
        <w:rPr>
          <w:rFonts w:eastAsia="Times New Roman"/>
        </w:rPr>
        <w:t xml:space="preserve">.  </w:t>
      </w:r>
    </w:p>
    <w:p w14:paraId="4506BA8D" w14:textId="77777777" w:rsidR="0048171C" w:rsidRPr="00E5219B" w:rsidRDefault="00E5219B" w:rsidP="0048171C">
      <w:pPr>
        <w:pStyle w:val="ListParagraph"/>
        <w:numPr>
          <w:ilvl w:val="0"/>
          <w:numId w:val="3"/>
        </w:numPr>
        <w:spacing w:after="0" w:line="240" w:lineRule="auto"/>
        <w:rPr>
          <w:rFonts w:eastAsia="Times New Roman"/>
        </w:rPr>
      </w:pPr>
      <w:r>
        <w:t>Meet a</w:t>
      </w:r>
      <w:r w:rsidRPr="0048171C">
        <w:rPr>
          <w:rFonts w:eastAsia="Times New Roman"/>
        </w:rPr>
        <w:t xml:space="preserve">nd confer updates. </w:t>
      </w:r>
      <w:r w:rsidR="0048171C">
        <w:rPr>
          <w:rFonts w:eastAsia="Times New Roman"/>
        </w:rPr>
        <w:t xml:space="preserve">Meet and Confer- MOU went into effect for wildland fire retroactive dates.  Working with management on nursing mother’s rights.  PAT has some workload issues they are working on.  </w:t>
      </w:r>
    </w:p>
    <w:p w14:paraId="57C72635" w14:textId="4FBC36DE" w:rsidR="0058112A" w:rsidRPr="0048171C" w:rsidRDefault="0048171C" w:rsidP="00005CA8">
      <w:pPr>
        <w:pStyle w:val="ListParagraph"/>
        <w:numPr>
          <w:ilvl w:val="0"/>
          <w:numId w:val="3"/>
        </w:numPr>
        <w:spacing w:after="0" w:line="240" w:lineRule="auto"/>
        <w:rPr>
          <w:rFonts w:eastAsia="Times New Roman"/>
        </w:rPr>
      </w:pPr>
      <w:r>
        <w:rPr>
          <w:rFonts w:eastAsia="Times New Roman"/>
        </w:rPr>
        <w:lastRenderedPageBreak/>
        <w:t>Gretchen- membership goal of 19 new members by March 31</w:t>
      </w:r>
      <w:r w:rsidRPr="0048171C">
        <w:rPr>
          <w:rFonts w:eastAsia="Times New Roman"/>
          <w:vertAlign w:val="superscript"/>
        </w:rPr>
        <w:t>st</w:t>
      </w:r>
      <w:r>
        <w:rPr>
          <w:rFonts w:eastAsia="Times New Roman"/>
        </w:rPr>
        <w:t>.  Updating call list for the 46 new members.  The better our numbers are when going into negotiations, the stronger our case.  Last bargaining with MMB was not an easy task.  So trying to be more pro-active going into it this time.  Bargaining platform can be brought forth to members and notices texted out with the CAT format.</w:t>
      </w:r>
    </w:p>
    <w:p w14:paraId="09650B6A" w14:textId="77777777" w:rsidR="00C067A3" w:rsidRDefault="00C067A3" w:rsidP="00B11EE8">
      <w:pPr>
        <w:pStyle w:val="ListParagraph"/>
        <w:spacing w:after="0" w:line="240" w:lineRule="auto"/>
        <w:rPr>
          <w:rFonts w:eastAsia="Times New Roman"/>
        </w:rPr>
      </w:pPr>
    </w:p>
    <w:p w14:paraId="1291AD07" w14:textId="262C19E3" w:rsidR="005328E9" w:rsidRPr="000506EF" w:rsidRDefault="00B11EE8" w:rsidP="003954E3">
      <w:pPr>
        <w:pStyle w:val="ListParagraph"/>
        <w:numPr>
          <w:ilvl w:val="0"/>
          <w:numId w:val="3"/>
        </w:numPr>
        <w:spacing w:after="0" w:line="240" w:lineRule="auto"/>
        <w:rPr>
          <w:rFonts w:eastAsia="Times New Roman"/>
        </w:rPr>
      </w:pPr>
      <w:r w:rsidRPr="000506EF">
        <w:rPr>
          <w:rFonts w:eastAsia="Times New Roman"/>
        </w:rPr>
        <w:t xml:space="preserve">Drawing- </w:t>
      </w:r>
      <w:r w:rsidR="0048171C">
        <w:rPr>
          <w:rFonts w:eastAsia="Times New Roman"/>
        </w:rPr>
        <w:t>Kayleen Ninefelt/Linquist is the winner.</w:t>
      </w:r>
    </w:p>
    <w:sectPr w:rsidR="005328E9" w:rsidRPr="000506EF" w:rsidSect="00DB5F69">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66F"/>
    <w:multiLevelType w:val="hybridMultilevel"/>
    <w:tmpl w:val="D90C4D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74DE7"/>
    <w:multiLevelType w:val="hybridMultilevel"/>
    <w:tmpl w:val="BFB8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7E2906"/>
    <w:multiLevelType w:val="hybridMultilevel"/>
    <w:tmpl w:val="F008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6F32D6"/>
    <w:multiLevelType w:val="hybridMultilevel"/>
    <w:tmpl w:val="D1FC51B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79"/>
    <w:rsid w:val="00031A42"/>
    <w:rsid w:val="0003643D"/>
    <w:rsid w:val="000401EC"/>
    <w:rsid w:val="000403FE"/>
    <w:rsid w:val="000506EF"/>
    <w:rsid w:val="000D69D0"/>
    <w:rsid w:val="0012204A"/>
    <w:rsid w:val="001453BC"/>
    <w:rsid w:val="0017157F"/>
    <w:rsid w:val="0023139F"/>
    <w:rsid w:val="0027223E"/>
    <w:rsid w:val="002D6B15"/>
    <w:rsid w:val="00300F29"/>
    <w:rsid w:val="003240B6"/>
    <w:rsid w:val="0037234A"/>
    <w:rsid w:val="00372993"/>
    <w:rsid w:val="00382607"/>
    <w:rsid w:val="003C0372"/>
    <w:rsid w:val="003D420B"/>
    <w:rsid w:val="003F094B"/>
    <w:rsid w:val="003F6BBC"/>
    <w:rsid w:val="00445F7E"/>
    <w:rsid w:val="0048171C"/>
    <w:rsid w:val="004C2703"/>
    <w:rsid w:val="005328E9"/>
    <w:rsid w:val="0054002B"/>
    <w:rsid w:val="00546A9B"/>
    <w:rsid w:val="0056315C"/>
    <w:rsid w:val="0058112A"/>
    <w:rsid w:val="005F04D5"/>
    <w:rsid w:val="00613FB3"/>
    <w:rsid w:val="00685AEB"/>
    <w:rsid w:val="00694250"/>
    <w:rsid w:val="006C1363"/>
    <w:rsid w:val="006D05AC"/>
    <w:rsid w:val="006E2B83"/>
    <w:rsid w:val="00755473"/>
    <w:rsid w:val="00764E4A"/>
    <w:rsid w:val="007B2311"/>
    <w:rsid w:val="0086548D"/>
    <w:rsid w:val="00875518"/>
    <w:rsid w:val="008C5DB5"/>
    <w:rsid w:val="008D3979"/>
    <w:rsid w:val="00953D75"/>
    <w:rsid w:val="00AB518F"/>
    <w:rsid w:val="00B11EE8"/>
    <w:rsid w:val="00B424AD"/>
    <w:rsid w:val="00C067A3"/>
    <w:rsid w:val="00C50A31"/>
    <w:rsid w:val="00C83F48"/>
    <w:rsid w:val="00C9659D"/>
    <w:rsid w:val="00CA052D"/>
    <w:rsid w:val="00CD4E64"/>
    <w:rsid w:val="00CE065C"/>
    <w:rsid w:val="00D343D6"/>
    <w:rsid w:val="00D34F9B"/>
    <w:rsid w:val="00D52564"/>
    <w:rsid w:val="00DB5F69"/>
    <w:rsid w:val="00DB6B1D"/>
    <w:rsid w:val="00DB75F9"/>
    <w:rsid w:val="00DE07CF"/>
    <w:rsid w:val="00E113F7"/>
    <w:rsid w:val="00E24AA7"/>
    <w:rsid w:val="00E42383"/>
    <w:rsid w:val="00E5219B"/>
    <w:rsid w:val="00EE267D"/>
    <w:rsid w:val="00EF066E"/>
    <w:rsid w:val="00F4407C"/>
    <w:rsid w:val="00F54911"/>
    <w:rsid w:val="00F57621"/>
    <w:rsid w:val="00F922AA"/>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EA5F"/>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paragraph" w:styleId="NormalWeb">
    <w:name w:val="Normal (Web)"/>
    <w:basedOn w:val="Normal"/>
    <w:uiPriority w:val="99"/>
    <w:semiHidden/>
    <w:unhideWhenUsed/>
    <w:rsid w:val="00DB75F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1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3362">
      <w:bodyDiv w:val="1"/>
      <w:marLeft w:val="0"/>
      <w:marRight w:val="0"/>
      <w:marTop w:val="0"/>
      <w:marBottom w:val="0"/>
      <w:divBdr>
        <w:top w:val="none" w:sz="0" w:space="0" w:color="auto"/>
        <w:left w:val="none" w:sz="0" w:space="0" w:color="auto"/>
        <w:bottom w:val="none" w:sz="0" w:space="0" w:color="auto"/>
        <w:right w:val="none" w:sz="0" w:space="0" w:color="auto"/>
      </w:divBdr>
    </w:div>
    <w:div w:id="241374502">
      <w:bodyDiv w:val="1"/>
      <w:marLeft w:val="0"/>
      <w:marRight w:val="0"/>
      <w:marTop w:val="0"/>
      <w:marBottom w:val="0"/>
      <w:divBdr>
        <w:top w:val="none" w:sz="0" w:space="0" w:color="auto"/>
        <w:left w:val="none" w:sz="0" w:space="0" w:color="auto"/>
        <w:bottom w:val="none" w:sz="0" w:space="0" w:color="auto"/>
        <w:right w:val="none" w:sz="0" w:space="0" w:color="auto"/>
      </w:divBdr>
    </w:div>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379134633">
      <w:bodyDiv w:val="1"/>
      <w:marLeft w:val="0"/>
      <w:marRight w:val="0"/>
      <w:marTop w:val="0"/>
      <w:marBottom w:val="0"/>
      <w:divBdr>
        <w:top w:val="none" w:sz="0" w:space="0" w:color="auto"/>
        <w:left w:val="none" w:sz="0" w:space="0" w:color="auto"/>
        <w:bottom w:val="none" w:sz="0" w:space="0" w:color="auto"/>
        <w:right w:val="none" w:sz="0" w:space="0" w:color="auto"/>
      </w:divBdr>
    </w:div>
    <w:div w:id="413011459">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731274453">
      <w:bodyDiv w:val="1"/>
      <w:marLeft w:val="0"/>
      <w:marRight w:val="0"/>
      <w:marTop w:val="0"/>
      <w:marBottom w:val="0"/>
      <w:divBdr>
        <w:top w:val="none" w:sz="0" w:space="0" w:color="auto"/>
        <w:left w:val="none" w:sz="0" w:space="0" w:color="auto"/>
        <w:bottom w:val="none" w:sz="0" w:space="0" w:color="auto"/>
        <w:right w:val="none" w:sz="0" w:space="0" w:color="auto"/>
      </w:divBdr>
    </w:div>
    <w:div w:id="792945811">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390497582">
      <w:bodyDiv w:val="1"/>
      <w:marLeft w:val="0"/>
      <w:marRight w:val="0"/>
      <w:marTop w:val="0"/>
      <w:marBottom w:val="0"/>
      <w:divBdr>
        <w:top w:val="none" w:sz="0" w:space="0" w:color="auto"/>
        <w:left w:val="none" w:sz="0" w:space="0" w:color="auto"/>
        <w:bottom w:val="none" w:sz="0" w:space="0" w:color="auto"/>
        <w:right w:val="none" w:sz="0" w:space="0" w:color="auto"/>
      </w:divBdr>
    </w:div>
    <w:div w:id="1471315670">
      <w:bodyDiv w:val="1"/>
      <w:marLeft w:val="0"/>
      <w:marRight w:val="0"/>
      <w:marTop w:val="0"/>
      <w:marBottom w:val="0"/>
      <w:divBdr>
        <w:top w:val="none" w:sz="0" w:space="0" w:color="auto"/>
        <w:left w:val="none" w:sz="0" w:space="0" w:color="auto"/>
        <w:bottom w:val="none" w:sz="0" w:space="0" w:color="auto"/>
        <w:right w:val="none" w:sz="0" w:space="0" w:color="auto"/>
      </w:divBdr>
    </w:div>
    <w:div w:id="1972443578">
      <w:bodyDiv w:val="1"/>
      <w:marLeft w:val="0"/>
      <w:marRight w:val="0"/>
      <w:marTop w:val="0"/>
      <w:marBottom w:val="0"/>
      <w:divBdr>
        <w:top w:val="none" w:sz="0" w:space="0" w:color="auto"/>
        <w:left w:val="none" w:sz="0" w:space="0" w:color="auto"/>
        <w:bottom w:val="none" w:sz="0" w:space="0" w:color="auto"/>
        <w:right w:val="none" w:sz="0" w:space="0" w:color="auto"/>
      </w:divBdr>
    </w:div>
    <w:div w:id="1980302826">
      <w:bodyDiv w:val="1"/>
      <w:marLeft w:val="0"/>
      <w:marRight w:val="0"/>
      <w:marTop w:val="0"/>
      <w:marBottom w:val="0"/>
      <w:divBdr>
        <w:top w:val="none" w:sz="0" w:space="0" w:color="auto"/>
        <w:left w:val="none" w:sz="0" w:space="0" w:color="auto"/>
        <w:bottom w:val="none" w:sz="0" w:space="0" w:color="auto"/>
        <w:right w:val="none" w:sz="0" w:space="0" w:color="auto"/>
      </w:divBdr>
    </w:div>
    <w:div w:id="1998726653">
      <w:bodyDiv w:val="1"/>
      <w:marLeft w:val="0"/>
      <w:marRight w:val="0"/>
      <w:marTop w:val="0"/>
      <w:marBottom w:val="0"/>
      <w:divBdr>
        <w:top w:val="none" w:sz="0" w:space="0" w:color="auto"/>
        <w:left w:val="none" w:sz="0" w:space="0" w:color="auto"/>
        <w:bottom w:val="none" w:sz="0" w:space="0" w:color="auto"/>
        <w:right w:val="none" w:sz="0" w:space="0" w:color="auto"/>
      </w:divBdr>
    </w:div>
    <w:div w:id="20047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Tranel, Molly (DNR)</cp:lastModifiedBy>
  <cp:revision>35</cp:revision>
  <dcterms:created xsi:type="dcterms:W3CDTF">2020-09-04T16:21:00Z</dcterms:created>
  <dcterms:modified xsi:type="dcterms:W3CDTF">2023-01-09T14:53:00Z</dcterms:modified>
</cp:coreProperties>
</file>