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442DF1" w:rsidP="00D904F9">
          <w:pPr>
            <w:rPr>
              <w:rFonts w:cs="Calibri"/>
            </w:rPr>
          </w:pPr>
          <w:r>
            <w:t>August 10</w:t>
          </w:r>
          <w:r w:rsidR="00D904F9">
            <w:t>, 2021 WebEx</w:t>
          </w:r>
        </w:p>
        <w:p w:rsidR="00D904F9" w:rsidRPr="000F0FF5" w:rsidRDefault="00D904F9" w:rsidP="00D904F9">
          <w:pPr>
            <w:pStyle w:val="Heading2"/>
          </w:pPr>
          <w:r w:rsidRPr="000F0FF5">
            <w:t>Welcome – Liz Pearson, President</w:t>
          </w:r>
        </w:p>
        <w:p w:rsidR="00BA5304" w:rsidRPr="00BA5304" w:rsidRDefault="00633A86" w:rsidP="00BA5304">
          <w:pPr>
            <w:pStyle w:val="ListParagraph"/>
            <w:numPr>
              <w:ilvl w:val="0"/>
              <w:numId w:val="37"/>
            </w:numPr>
            <w:rPr>
              <w:b/>
            </w:rPr>
          </w:pPr>
          <w:r w:rsidRPr="00BA5304">
            <w:t>Welcome to all our new members from Brown &amp; Bigelow.</w:t>
          </w:r>
          <w:r w:rsidR="00BA5304">
            <w:br/>
          </w:r>
        </w:p>
        <w:p w:rsidR="00BA5304" w:rsidRPr="00BA5304" w:rsidRDefault="00D904F9" w:rsidP="00BA5304">
          <w:pPr>
            <w:pStyle w:val="ListParagraph"/>
            <w:numPr>
              <w:ilvl w:val="0"/>
              <w:numId w:val="37"/>
            </w:numPr>
            <w:rPr>
              <w:b/>
            </w:rPr>
          </w:pPr>
          <w:r w:rsidRPr="00BA5304">
            <w:t xml:space="preserve">A reminder on behalf of Head Steward Dylan Adams, we are always in need stewards. </w:t>
          </w:r>
          <w:r w:rsidR="00633A86" w:rsidRPr="00BA5304">
            <w:t xml:space="preserve">Now that we have staff from Brown &amp; Bigelow as a part of our 2101, we have 1,100 people in our local. We have a small slate of stewards and always looking for more. </w:t>
          </w:r>
          <w:r w:rsidR="00BA5304">
            <w:br/>
          </w:r>
        </w:p>
        <w:p w:rsidR="00BA5304" w:rsidRPr="00BA5304" w:rsidRDefault="00633A86" w:rsidP="00BA5304">
          <w:pPr>
            <w:pStyle w:val="ListParagraph"/>
            <w:numPr>
              <w:ilvl w:val="0"/>
              <w:numId w:val="37"/>
            </w:numPr>
            <w:rPr>
              <w:b/>
            </w:rPr>
          </w:pPr>
          <w:r w:rsidRPr="00BA5304">
            <w:t>If you need a steward, reach out to anyone on the list including Liz or any of the officers. Stewards can help answer contract questions and issues with your workspace. Stewards list and officers are located at the bottom of the agenda.</w:t>
          </w:r>
          <w:r w:rsidR="00BA5304">
            <w:br/>
          </w:r>
        </w:p>
        <w:p w:rsidR="00633A86" w:rsidRPr="00BA5304" w:rsidRDefault="00633A86" w:rsidP="00BA5304">
          <w:pPr>
            <w:pStyle w:val="ListParagraph"/>
            <w:numPr>
              <w:ilvl w:val="0"/>
              <w:numId w:val="37"/>
            </w:numPr>
            <w:rPr>
              <w:b/>
            </w:rPr>
          </w:pPr>
          <w:r w:rsidRPr="00CF2A88">
            <w:rPr>
              <w:b/>
            </w:rPr>
            <w:t>We are also still looking for our treasurer!</w:t>
          </w:r>
          <w:r w:rsidRPr="00BA5304">
            <w:t xml:space="preserve"> Please reach out to a MAPE </w:t>
          </w:r>
          <w:r w:rsidR="00442DF1" w:rsidRPr="00BA5304">
            <w:t>officer</w:t>
          </w:r>
          <w:r w:rsidRPr="00BA5304">
            <w:t xml:space="preserve"> if you are interested. </w:t>
          </w:r>
        </w:p>
        <w:p w:rsidR="00D904F9" w:rsidRPr="000F0FF5" w:rsidRDefault="00D904F9" w:rsidP="00442DF1">
          <w:pPr>
            <w:pStyle w:val="Heading2"/>
          </w:pPr>
          <w:r w:rsidRPr="00633A86">
            <w:rPr>
              <w:lang w:val="en"/>
            </w:rPr>
            <w:t>Lunch Donation – Liz Pearson</w:t>
          </w:r>
        </w:p>
        <w:p w:rsidR="00BA5304" w:rsidRDefault="00633A86" w:rsidP="00BA5304">
          <w:pPr>
            <w:pStyle w:val="ListParagraph"/>
          </w:pPr>
          <w:r w:rsidRPr="00BA5304">
            <w:t>The lunch donation</w:t>
          </w:r>
          <w:r w:rsidR="00D904F9" w:rsidRPr="00BA5304">
            <w:t xml:space="preserve"> winners are </w:t>
          </w:r>
          <w:r w:rsidRPr="00BA5304">
            <w:t xml:space="preserve">Open Door Food Shelf and Courage Kenney Foundation </w:t>
          </w:r>
          <w:r w:rsidR="00D904F9" w:rsidRPr="00BA5304">
            <w:t>We will split the $500 equally between the two organizations. Thank you everyone for taking the time to participate in our survey.</w:t>
          </w:r>
          <w:r w:rsidR="00BA5304" w:rsidRPr="00BA5304">
            <w:t xml:space="preserve"> </w:t>
          </w:r>
        </w:p>
        <w:p w:rsidR="00BA5304" w:rsidRDefault="00633A86" w:rsidP="00BA5304">
          <w:pPr>
            <w:pStyle w:val="ListParagraph"/>
            <w:numPr>
              <w:ilvl w:val="1"/>
              <w:numId w:val="27"/>
            </w:numPr>
          </w:pPr>
          <w:r w:rsidRPr="00BA5304">
            <w:t>Open Door Food Shelf is a hunger relief organization dedicated to ending local hunger through access to healthy food. Through its collective programs, The Open Door serves almost 5,000 Dakota County residents each month, and distributes over 1 million pounds of food annually, 70% of which is fresh and/or perishable. Clients are able to access healthy food choices through a fixed-site food pantry in Eagan, multiple Mobile Pantry sites, the Mobile Lunchbox program, and the Garden to Table program.</w:t>
          </w:r>
          <w:r w:rsidR="00BA5304" w:rsidRPr="00BA5304">
            <w:t xml:space="preserve"> </w:t>
          </w:r>
          <w:hyperlink r:id="rId9" w:history="1">
            <w:r w:rsidR="00BA5304" w:rsidRPr="00D776DA">
              <w:rPr>
                <w:rStyle w:val="Hyperlink"/>
              </w:rPr>
              <w:t>https://theopendoorpantry.org/</w:t>
            </w:r>
          </w:hyperlink>
          <w:r w:rsidR="00BA5304">
            <w:t xml:space="preserve"> </w:t>
          </w:r>
          <w:r w:rsidRPr="00BA5304">
            <w:t xml:space="preserve"> </w:t>
          </w:r>
        </w:p>
        <w:p w:rsidR="006F4E68" w:rsidRPr="00BA5304" w:rsidRDefault="00633A86" w:rsidP="00CF2A88">
          <w:pPr>
            <w:pStyle w:val="ListParagraph"/>
            <w:numPr>
              <w:ilvl w:val="1"/>
              <w:numId w:val="27"/>
            </w:numPr>
          </w:pPr>
          <w:r w:rsidRPr="00BA5304">
            <w:t xml:space="preserve">Courage Kenney Foundation advances the mission and goals of Courage Kenny Rehabilitation Institute, by maximizing the quality of life for people of all ages and abilities by delivering comprehensive, person-centered rehabilitation throughout life. </w:t>
          </w:r>
          <w:r w:rsidR="00442DF1" w:rsidRPr="00BA5304">
            <w:t xml:space="preserve">The </w:t>
          </w:r>
          <w:r w:rsidRPr="00BA5304">
            <w:t xml:space="preserve">Courage Kenny Foundation funds innovative programs, ground-breaking research and exceptional services that help people </w:t>
          </w:r>
          <w:r w:rsidRPr="00BA5304">
            <w:lastRenderedPageBreak/>
            <w:t>achieve health, wellness and independence.</w:t>
          </w:r>
          <w:r w:rsidR="00CF2A88">
            <w:t xml:space="preserve"> </w:t>
          </w:r>
          <w:hyperlink r:id="rId10" w:history="1">
            <w:r w:rsidR="00CF2A88" w:rsidRPr="00D776DA">
              <w:rPr>
                <w:rStyle w:val="Hyperlink"/>
              </w:rPr>
              <w:t>https://www.allinahealth.org/courage-kenny-rehabilitation-institute/courage-kenny-foundation</w:t>
            </w:r>
          </w:hyperlink>
          <w:r w:rsidR="00CF2A88">
            <w:t xml:space="preserve"> </w:t>
          </w:r>
        </w:p>
        <w:p w:rsidR="00D904F9" w:rsidRPr="000F0FF5" w:rsidRDefault="00D904F9" w:rsidP="00D904F9">
          <w:pPr>
            <w:pStyle w:val="Heading2"/>
          </w:pPr>
          <w:r w:rsidRPr="000F0FF5">
            <w:t>Meeting agenda – via WebEx poll</w:t>
          </w:r>
        </w:p>
        <w:p w:rsidR="00D904F9" w:rsidRPr="00BA5304" w:rsidRDefault="00D904F9" w:rsidP="00BA5304">
          <w:pPr>
            <w:pStyle w:val="ListParagraph"/>
          </w:pPr>
          <w:r w:rsidRPr="00BA5304">
            <w:t>Approved</w:t>
          </w:r>
        </w:p>
        <w:p w:rsidR="00BA5304" w:rsidRPr="00BA5304" w:rsidRDefault="00BA5304" w:rsidP="00BA5304">
          <w:pPr>
            <w:pStyle w:val="Heading2"/>
          </w:pPr>
          <w:r w:rsidRPr="00BA5304">
            <w:t xml:space="preserve">Statewide Political and Organizing Councils – Nicole Juan and Lauren </w:t>
          </w:r>
          <w:r w:rsidR="00A86AF9">
            <w:t>Siegel</w:t>
          </w:r>
        </w:p>
        <w:p w:rsidR="00BA5304" w:rsidRPr="00BA5304" w:rsidRDefault="00BA5304" w:rsidP="00BA5304">
          <w:pPr>
            <w:pStyle w:val="ListParagraph"/>
          </w:pPr>
          <w:r>
            <w:t>No updates.</w:t>
          </w:r>
        </w:p>
        <w:p w:rsidR="00BA5304" w:rsidRPr="00BA5304" w:rsidRDefault="00BA5304" w:rsidP="00BA5304">
          <w:pPr>
            <w:pStyle w:val="Heading2"/>
          </w:pPr>
          <w:r w:rsidRPr="00BA5304">
            <w:t>Meet &amp; Confer – Whitney Terrill</w:t>
          </w:r>
        </w:p>
        <w:p w:rsidR="00BA5304" w:rsidRDefault="00BA5304" w:rsidP="00D904F9">
          <w:pPr>
            <w:pStyle w:val="ListParagraph"/>
          </w:pPr>
          <w:r>
            <w:t>No updates.</w:t>
          </w:r>
        </w:p>
        <w:p w:rsidR="00BA5304" w:rsidRPr="00BA5304" w:rsidRDefault="00BA5304" w:rsidP="00BA5304">
          <w:pPr>
            <w:pStyle w:val="Heading2"/>
          </w:pPr>
          <w:r w:rsidRPr="00BA5304">
            <w:t>Update from our Regional Director – Vanessa Vogl</w:t>
          </w:r>
        </w:p>
        <w:p w:rsidR="001707E5" w:rsidRDefault="00454F83" w:rsidP="001707E5">
          <w:pPr>
            <w:pStyle w:val="ListParagraph"/>
          </w:pPr>
          <w:r>
            <w:t xml:space="preserve">The </w:t>
          </w:r>
          <w:r w:rsidR="001707E5">
            <w:t>Board of D</w:t>
          </w:r>
          <w:r>
            <w:t>irectors is statewide and considered the</w:t>
          </w:r>
          <w:r w:rsidRPr="00454F83">
            <w:t xml:space="preserve"> highest governing body when delegate assembly isn’t in session. </w:t>
          </w:r>
          <w:r>
            <w:t>These are e</w:t>
          </w:r>
          <w:r w:rsidRPr="00454F83">
            <w:t>lected position</w:t>
          </w:r>
          <w:r>
            <w:t>s for each region around the state</w:t>
          </w:r>
          <w:r w:rsidRPr="00454F83">
            <w:t xml:space="preserve">. </w:t>
          </w:r>
          <w:r>
            <w:t xml:space="preserve">Our local </w:t>
          </w:r>
          <w:r w:rsidR="001707E5">
            <w:t>2101 is so big that it</w:t>
          </w:r>
          <w:r w:rsidRPr="00454F83">
            <w:t xml:space="preserve"> constitute</w:t>
          </w:r>
          <w:r w:rsidR="001707E5">
            <w:t xml:space="preserve">s its own region. </w:t>
          </w:r>
        </w:p>
        <w:p w:rsidR="001707E5" w:rsidRDefault="001707E5" w:rsidP="001707E5">
          <w:pPr>
            <w:pStyle w:val="ListParagraph"/>
          </w:pPr>
          <w:r>
            <w:t xml:space="preserve">The </w:t>
          </w:r>
          <w:r w:rsidR="00454F83" w:rsidRPr="00454F83">
            <w:t xml:space="preserve">board </w:t>
          </w:r>
          <w:r>
            <w:t xml:space="preserve">has </w:t>
          </w:r>
          <w:r w:rsidR="00454F83" w:rsidRPr="00454F83">
            <w:t>voted to appr</w:t>
          </w:r>
          <w:r>
            <w:t>ove the tentative agreement</w:t>
          </w:r>
          <w:r w:rsidR="00E32DAD">
            <w:t>, and to</w:t>
          </w:r>
          <w:r>
            <w:t xml:space="preserve"> put </w:t>
          </w:r>
          <w:r w:rsidR="00E32DAD">
            <w:t xml:space="preserve">it </w:t>
          </w:r>
          <w:r>
            <w:t>in front</w:t>
          </w:r>
          <w:r w:rsidR="00454F83" w:rsidRPr="00454F83">
            <w:t xml:space="preserve"> of membership</w:t>
          </w:r>
          <w:r w:rsidR="00E32DAD">
            <w:t xml:space="preserve"> for a vote, </w:t>
          </w:r>
          <w:r w:rsidR="00454F83" w:rsidRPr="00454F83">
            <w:t xml:space="preserve">with a recommendation to approve it. </w:t>
          </w:r>
        </w:p>
        <w:p w:rsidR="00BA5304" w:rsidRDefault="001707E5" w:rsidP="001707E5">
          <w:pPr>
            <w:pStyle w:val="ListParagraph"/>
          </w:pPr>
          <w:r>
            <w:t>The n</w:t>
          </w:r>
          <w:r w:rsidR="00454F83" w:rsidRPr="00454F83">
            <w:t xml:space="preserve">ext </w:t>
          </w:r>
          <w:r>
            <w:t>board meeting is next Friday</w:t>
          </w:r>
          <w:r w:rsidR="00DA41EA">
            <w:t>, August 20th</w:t>
          </w:r>
          <w:r>
            <w:t>. Our Vice-P</w:t>
          </w:r>
          <w:r w:rsidR="00454F83" w:rsidRPr="00454F83">
            <w:t>resident Matt will attend since Vanessa</w:t>
          </w:r>
          <w:r w:rsidR="00E32DAD">
            <w:t xml:space="preserve"> will be on vacation. Our board representative</w:t>
          </w:r>
          <w:bookmarkStart w:id="0" w:name="_GoBack"/>
          <w:bookmarkEnd w:id="0"/>
          <w:r w:rsidR="00454F83" w:rsidRPr="00454F83">
            <w:t xml:space="preserve"> is our </w:t>
          </w:r>
          <w:r>
            <w:t xml:space="preserve">local’s </w:t>
          </w:r>
          <w:r w:rsidR="00454F83" w:rsidRPr="00454F83">
            <w:t>voice at the table</w:t>
          </w:r>
          <w:r>
            <w:t xml:space="preserve"> for the Board of Directors</w:t>
          </w:r>
          <w:r w:rsidR="00454F83" w:rsidRPr="00454F83">
            <w:t xml:space="preserve">. </w:t>
          </w:r>
        </w:p>
        <w:p w:rsidR="00D904F9" w:rsidRPr="000F0FF5" w:rsidRDefault="00D904F9" w:rsidP="00D904F9">
          <w:pPr>
            <w:pStyle w:val="Heading2"/>
          </w:pPr>
          <w:r>
            <w:t>C</w:t>
          </w:r>
          <w:r w:rsidR="001707E5">
            <w:t>ontract Changes</w:t>
          </w:r>
          <w:r>
            <w:t xml:space="preserve"> - </w:t>
          </w:r>
          <w:r w:rsidRPr="000F0FF5">
            <w:t>Christine Retkwa</w:t>
          </w:r>
        </w:p>
        <w:p w:rsidR="001707E5" w:rsidRDefault="001707E5" w:rsidP="001707E5">
          <w:pPr>
            <w:pStyle w:val="ListParagraph"/>
          </w:pPr>
          <w:r>
            <w:t xml:space="preserve">Christine </w:t>
          </w:r>
          <w:r w:rsidR="00594C27">
            <w:t>presented on</w:t>
          </w:r>
          <w:r>
            <w:t xml:space="preserve"> the contract changes in the Tentative Agreement</w:t>
          </w:r>
          <w:r w:rsidR="0033297D">
            <w:t xml:space="preserve"> (TA)</w:t>
          </w:r>
          <w:r>
            <w:t>, including</w:t>
          </w:r>
          <w:r w:rsidR="0033297D">
            <w:t xml:space="preserve"> the Cost of Living Adjustment, Healthcare, Equity, Diversity &amp; Inclusion (EDI)</w:t>
          </w:r>
          <w:r w:rsidR="0073446B">
            <w:t>, and other items</w:t>
          </w:r>
          <w:r w:rsidR="0033297D">
            <w:t>.</w:t>
          </w:r>
        </w:p>
        <w:p w:rsidR="00594C27" w:rsidRDefault="0033297D" w:rsidP="00594C27">
          <w:pPr>
            <w:pStyle w:val="ListParagraph"/>
            <w:numPr>
              <w:ilvl w:val="1"/>
              <w:numId w:val="27"/>
            </w:numPr>
          </w:pPr>
          <w:r>
            <w:t>F</w:t>
          </w:r>
          <w:r w:rsidR="00594C27">
            <w:t xml:space="preserve">or a high level overview of the TA, please refer to the </w:t>
          </w:r>
          <w:hyperlink r:id="rId11" w:history="1">
            <w:r w:rsidR="00594C27" w:rsidRPr="00594C27">
              <w:rPr>
                <w:rStyle w:val="Hyperlink"/>
              </w:rPr>
              <w:t>MAPE website</w:t>
            </w:r>
          </w:hyperlink>
          <w:r w:rsidR="00594C27">
            <w:t>.</w:t>
          </w:r>
        </w:p>
        <w:p w:rsidR="00594C27" w:rsidRDefault="00594C27" w:rsidP="00594C27">
          <w:pPr>
            <w:pStyle w:val="ListParagraph"/>
            <w:numPr>
              <w:ilvl w:val="1"/>
              <w:numId w:val="27"/>
            </w:numPr>
          </w:pPr>
          <w:r>
            <w:t>Follow-up from the presentation:</w:t>
          </w:r>
        </w:p>
        <w:p w:rsidR="00594C27" w:rsidRDefault="00594C27" w:rsidP="00336437">
          <w:pPr>
            <w:pStyle w:val="ListParagraph"/>
            <w:numPr>
              <w:ilvl w:val="2"/>
              <w:numId w:val="27"/>
            </w:numPr>
          </w:pPr>
          <w:r>
            <w:t xml:space="preserve">Question: </w:t>
          </w:r>
          <w:r w:rsidRPr="00594C27">
            <w:t xml:space="preserve">mape.org says, "Ability for employees to waive the shift differential language to allow for more flexible schedules, removes the lunch time restriction language (employees can now take lunch any time of the workday)." </w:t>
          </w:r>
          <w:r>
            <w:t>W</w:t>
          </w:r>
          <w:r w:rsidRPr="00594C27">
            <w:t>ould this allow an employee to take lunch at the end of the day? For example you work 6-2:30pm but take lunch at the end of the day at 1:30pm and be done for the day?</w:t>
          </w:r>
        </w:p>
        <w:p w:rsidR="00336437" w:rsidRDefault="00594C27" w:rsidP="00336437">
          <w:pPr>
            <w:pStyle w:val="ListParagraph"/>
            <w:numPr>
              <w:ilvl w:val="2"/>
              <w:numId w:val="27"/>
            </w:numPr>
          </w:pPr>
          <w:r>
            <w:t xml:space="preserve">Answer: </w:t>
          </w:r>
          <w:r w:rsidR="00336437">
            <w:t>Yes if mutually agreed upon between the employee and their supervisor. Here is the change (struck language):</w:t>
          </w:r>
        </w:p>
        <w:p w:rsidR="00336437" w:rsidRDefault="00336437" w:rsidP="00336437">
          <w:pPr>
            <w:pStyle w:val="ListParagraph"/>
            <w:numPr>
              <w:ilvl w:val="0"/>
              <w:numId w:val="0"/>
            </w:numPr>
            <w:ind w:left="2160" w:firstLine="720"/>
          </w:pPr>
          <w:r>
            <w:t xml:space="preserve">ARTICLE 27 – HOURS OF WORK AND OVERTIME   </w:t>
          </w:r>
        </w:p>
        <w:p w:rsidR="00336437" w:rsidRDefault="00336437" w:rsidP="00336437">
          <w:pPr>
            <w:pStyle w:val="ListParagraph"/>
            <w:numPr>
              <w:ilvl w:val="0"/>
              <w:numId w:val="0"/>
            </w:numPr>
            <w:ind w:left="2160" w:firstLine="720"/>
          </w:pPr>
          <w:r>
            <w:t xml:space="preserve">Section 1. General Provisions. C. Meal Periods. </w:t>
          </w:r>
        </w:p>
        <w:p w:rsidR="00594C27" w:rsidRDefault="00336437" w:rsidP="00336437">
          <w:pPr>
            <w:pStyle w:val="ListParagraph"/>
            <w:numPr>
              <w:ilvl w:val="0"/>
              <w:numId w:val="0"/>
            </w:numPr>
            <w:ind w:left="2880"/>
          </w:pPr>
          <w:r w:rsidRPr="00336437">
            <w:lastRenderedPageBreak/>
            <w:t xml:space="preserve">Employees shall normally be granted an unpaid lunch period of no less than thirty (30) minutes nor more than sixty (60) minutes near the midpoint of each day. </w:t>
          </w:r>
          <w:r>
            <w:t xml:space="preserve">However, the employee and their immediate supervisor may mutually agree to a lunch period at some other point during the day </w:t>
          </w:r>
          <w:r w:rsidRPr="00336437">
            <w:rPr>
              <w:strike/>
            </w:rPr>
            <w:t>provided such lunch period shall not be taken at the beginning or end of the day</w:t>
          </w:r>
          <w:r w:rsidRPr="00336437">
            <w:t>.</w:t>
          </w:r>
          <w:r w:rsidRPr="00336437">
            <w:rPr>
              <w:strike/>
            </w:rPr>
            <w:t xml:space="preserve">  </w:t>
          </w:r>
        </w:p>
        <w:p w:rsidR="0033297D" w:rsidRPr="0033297D" w:rsidRDefault="00B80F19" w:rsidP="0073446B">
          <w:pPr>
            <w:pStyle w:val="ListParagraph"/>
          </w:pPr>
          <w:r>
            <w:t>Another MAPE T</w:t>
          </w:r>
          <w:r w:rsidR="0033297D">
            <w:t xml:space="preserve">entative </w:t>
          </w:r>
          <w:r>
            <w:t>A</w:t>
          </w:r>
          <w:r w:rsidR="0033297D">
            <w:t xml:space="preserve">greement </w:t>
          </w:r>
          <w:r>
            <w:t>presentation and Q&amp;A is</w:t>
          </w:r>
          <w:r w:rsidR="0033297D">
            <w:t xml:space="preserve"> scheduled for </w:t>
          </w:r>
          <w:r w:rsidR="0033297D" w:rsidRPr="0073446B">
            <w:rPr>
              <w:b/>
            </w:rPr>
            <w:t>Thursday August 12</w:t>
          </w:r>
          <w:r w:rsidR="0033297D" w:rsidRPr="0073446B">
            <w:rPr>
              <w:b/>
              <w:vertAlign w:val="superscript"/>
            </w:rPr>
            <w:t>th</w:t>
          </w:r>
          <w:r w:rsidR="0033297D">
            <w:t xml:space="preserve"> and </w:t>
          </w:r>
          <w:r>
            <w:t xml:space="preserve">a </w:t>
          </w:r>
          <w:r w:rsidR="00FE1C2F">
            <w:t xml:space="preserve">MAPE </w:t>
          </w:r>
          <w:r>
            <w:t>listening session</w:t>
          </w:r>
          <w:r w:rsidR="00FE1C2F">
            <w:t xml:space="preserve"> is scheduled for</w:t>
          </w:r>
          <w:r>
            <w:t xml:space="preserve"> </w:t>
          </w:r>
          <w:r w:rsidR="0033297D" w:rsidRPr="0073446B">
            <w:rPr>
              <w:b/>
            </w:rPr>
            <w:t>Wednesday August 25</w:t>
          </w:r>
          <w:r w:rsidR="0033297D" w:rsidRPr="0073446B">
            <w:rPr>
              <w:b/>
              <w:vertAlign w:val="superscript"/>
            </w:rPr>
            <w:t>th</w:t>
          </w:r>
          <w:r w:rsidR="00594C27">
            <w:t xml:space="preserve"> if you have questions.</w:t>
          </w:r>
        </w:p>
        <w:p w:rsidR="0033297D" w:rsidRPr="00BA5304" w:rsidRDefault="0033297D" w:rsidP="0033297D">
          <w:pPr>
            <w:pStyle w:val="ListParagraph"/>
            <w:numPr>
              <w:ilvl w:val="1"/>
              <w:numId w:val="27"/>
            </w:numPr>
          </w:pPr>
          <w:r w:rsidRPr="0033297D">
            <w:t xml:space="preserve">Look for the emails with information on how to attend either </w:t>
          </w:r>
          <w:r>
            <w:t xml:space="preserve">upcoming </w:t>
          </w:r>
          <w:r w:rsidRPr="0033297D">
            <w:t>meeting.</w:t>
          </w:r>
        </w:p>
        <w:p w:rsidR="00D904F9" w:rsidRPr="00BA5304" w:rsidRDefault="0033297D" w:rsidP="0033297D">
          <w:pPr>
            <w:pStyle w:val="ListParagraph"/>
          </w:pPr>
          <w:r w:rsidRPr="0033297D">
            <w:rPr>
              <w:b/>
            </w:rPr>
            <w:t>September 2nd</w:t>
          </w:r>
          <w:r w:rsidRPr="0033297D">
            <w:t xml:space="preserve"> </w:t>
          </w:r>
          <w:r>
            <w:t>is the d</w:t>
          </w:r>
          <w:r w:rsidRPr="0033297D">
            <w:t xml:space="preserve">eadline to </w:t>
          </w:r>
          <w:r>
            <w:t xml:space="preserve">register to become a dues paying member with the right to </w:t>
          </w:r>
          <w:r w:rsidRPr="0033297D">
            <w:t>vote on the tentative agreement</w:t>
          </w:r>
          <w:r>
            <w:t xml:space="preserve">. </w:t>
          </w:r>
          <w:hyperlink r:id="rId12" w:history="1">
            <w:r w:rsidRPr="0033297D">
              <w:rPr>
                <w:rStyle w:val="Hyperlink"/>
              </w:rPr>
              <w:t>Join MAPE today</w:t>
            </w:r>
          </w:hyperlink>
          <w:r>
            <w:t xml:space="preserve"> to become a member.</w:t>
          </w:r>
        </w:p>
        <w:p w:rsidR="0033297D" w:rsidRDefault="0033297D" w:rsidP="00594C27">
          <w:pPr>
            <w:pStyle w:val="ListParagraph"/>
          </w:pPr>
          <w:r w:rsidRPr="0033297D">
            <w:rPr>
              <w:b/>
            </w:rPr>
            <w:t>September 8-17</w:t>
          </w:r>
          <w:r w:rsidRPr="0033297D">
            <w:t xml:space="preserve"> Electronic ballots </w:t>
          </w:r>
          <w:r>
            <w:t xml:space="preserve">will be </w:t>
          </w:r>
          <w:r w:rsidRPr="0033297D">
            <w:t>sent out for voting on the tentative agreement.</w:t>
          </w:r>
        </w:p>
        <w:p w:rsidR="00CD7A3F" w:rsidRPr="00CD7A3F" w:rsidRDefault="00CD7A3F" w:rsidP="00594C27">
          <w:pPr>
            <w:pStyle w:val="ListParagraph"/>
          </w:pPr>
          <w:r w:rsidRPr="00CD7A3F">
            <w:t xml:space="preserve">Once MMB sends the contract </w:t>
          </w:r>
          <w:r>
            <w:t>to the Subcommittee on Employee Relations (SER), SER had 30 days to vote on it. If the contract is approved by the SER, or there is no vote, the contract goes into interim effect. The contract will still need full L</w:t>
          </w:r>
          <w:r w:rsidR="0061472B">
            <w:t>egislative approval</w:t>
          </w:r>
          <w:r>
            <w:t xml:space="preserve"> in 2022.</w:t>
          </w:r>
          <w:r w:rsidRPr="00CD7A3F">
            <w:t xml:space="preserve"> </w:t>
          </w:r>
        </w:p>
        <w:p w:rsidR="00D904F9" w:rsidRPr="000F0FF5" w:rsidRDefault="00D904F9" w:rsidP="00D904F9">
          <w:pPr>
            <w:pStyle w:val="Heading2"/>
          </w:pPr>
          <w:r w:rsidRPr="000F0FF5">
            <w:t>Member Concerns and Other Announcements – Liz Pearson</w:t>
          </w:r>
        </w:p>
        <w:p w:rsidR="00D904F9" w:rsidRPr="000F0FF5" w:rsidRDefault="00D904F9" w:rsidP="00D904F9">
          <w:pPr>
            <w:pStyle w:val="ListParagraph"/>
            <w:numPr>
              <w:ilvl w:val="0"/>
              <w:numId w:val="32"/>
            </w:numPr>
            <w:spacing w:before="0" w:after="0" w:line="240" w:lineRule="auto"/>
            <w:rPr>
              <w:rStyle w:val="Hyperlink"/>
              <w:rFonts w:eastAsiaTheme="majorEastAsia" w:cs="Calibri"/>
              <w:b/>
              <w:color w:val="auto"/>
            </w:rPr>
          </w:pPr>
          <w:r w:rsidRPr="000F0FF5">
            <w:rPr>
              <w:rFonts w:cs="Calibri"/>
            </w:rPr>
            <w:t xml:space="preserve">Local 2101 membership rate is </w:t>
          </w:r>
          <w:r w:rsidR="00CF2A88">
            <w:rPr>
              <w:rFonts w:cs="Calibri"/>
            </w:rPr>
            <w:t xml:space="preserve">78%. </w:t>
          </w:r>
          <w:r w:rsidRPr="000F0FF5">
            <w:rPr>
              <w:rFonts w:cs="Calibri"/>
            </w:rPr>
            <w:t xml:space="preserve">Please join if you haven’t yet: </w:t>
          </w:r>
          <w:hyperlink r:id="rId13" w:history="1">
            <w:r w:rsidRPr="000F0FF5">
              <w:rPr>
                <w:rStyle w:val="Hyperlink"/>
                <w:rFonts w:eastAsiaTheme="majorEastAsia" w:cs="Calibri"/>
              </w:rPr>
              <w:t>https://mape.org/join-mape</w:t>
            </w:r>
          </w:hyperlink>
          <w:r w:rsidRPr="000F0FF5">
            <w:rPr>
              <w:rStyle w:val="Hyperlink"/>
              <w:rFonts w:eastAsiaTheme="majorEastAsia" w:cs="Calibri"/>
            </w:rPr>
            <w:t xml:space="preserve">. </w:t>
          </w:r>
          <w:r w:rsidRPr="007676A1">
            <w:rPr>
              <w:rStyle w:val="Hyperlink"/>
              <w:rFonts w:eastAsiaTheme="majorEastAsia" w:cs="Calibri"/>
              <w:color w:val="auto"/>
            </w:rPr>
            <w:t xml:space="preserve">Dues are </w:t>
          </w:r>
          <w:r w:rsidRPr="000F0FF5">
            <w:rPr>
              <w:rStyle w:val="Hyperlink"/>
              <w:rFonts w:eastAsiaTheme="majorEastAsia" w:cs="Calibri"/>
              <w:color w:val="auto"/>
            </w:rPr>
            <w:t>$21/paycheck.</w:t>
          </w:r>
          <w:r>
            <w:rPr>
              <w:rStyle w:val="Hyperlink"/>
              <w:rFonts w:eastAsiaTheme="majorEastAsia" w:cs="Calibri"/>
              <w:color w:val="auto"/>
            </w:rPr>
            <w:t xml:space="preserve"> </w:t>
          </w:r>
          <w:r w:rsidR="00715FE5" w:rsidRPr="00715FE5">
            <w:rPr>
              <w:rStyle w:val="Hyperlink"/>
              <w:rFonts w:eastAsiaTheme="majorEastAsia" w:cs="Calibri"/>
              <w:b/>
              <w:color w:val="auto"/>
            </w:rPr>
            <w:t>We need 20</w:t>
          </w:r>
          <w:r w:rsidRPr="00715FE5">
            <w:rPr>
              <w:rStyle w:val="Hyperlink"/>
              <w:rFonts w:eastAsiaTheme="majorEastAsia" w:cs="Calibri"/>
              <w:b/>
              <w:color w:val="auto"/>
            </w:rPr>
            <w:t xml:space="preserve"> people to join today so we can make it back to 80%.</w:t>
          </w:r>
          <w:r w:rsidRPr="007676A1">
            <w:rPr>
              <w:rStyle w:val="Hyperlink"/>
              <w:rFonts w:eastAsiaTheme="majorEastAsia" w:cs="Calibri"/>
              <w:color w:val="auto"/>
            </w:rPr>
            <w:br/>
          </w:r>
        </w:p>
        <w:p w:rsidR="00D904F9" w:rsidRDefault="00715FE5" w:rsidP="0098187C">
          <w:pPr>
            <w:pStyle w:val="ListParagraph"/>
            <w:numPr>
              <w:ilvl w:val="0"/>
              <w:numId w:val="32"/>
            </w:numPr>
            <w:spacing w:before="240" w:after="60" w:line="276" w:lineRule="auto"/>
            <w:rPr>
              <w:rFonts w:cs="Calibri"/>
              <w:b/>
            </w:rPr>
          </w:pPr>
          <w:r>
            <w:rPr>
              <w:rFonts w:cs="Calibri"/>
            </w:rPr>
            <w:t>MAPE 101. Join us Tuesday August 24</w:t>
          </w:r>
          <w:r w:rsidRPr="00715FE5">
            <w:rPr>
              <w:rFonts w:cs="Calibri"/>
              <w:vertAlign w:val="superscript"/>
            </w:rPr>
            <w:t>th</w:t>
          </w:r>
          <w:r>
            <w:rPr>
              <w:rFonts w:cs="Calibri"/>
            </w:rPr>
            <w:t xml:space="preserve"> </w:t>
          </w:r>
          <w:r w:rsidR="00D904F9" w:rsidRPr="00D36A73">
            <w:rPr>
              <w:rFonts w:cs="Calibri"/>
            </w:rPr>
            <w:t>from 12-1, via WebEx. MAPE 101 is an opportunity to take a deeper dive into specific topics with time to answer general questions. Contact Liz Pearson for the meeting invite. All represent</w:t>
          </w:r>
          <w:r w:rsidR="00D904F9">
            <w:rPr>
              <w:rFonts w:cs="Calibri"/>
            </w:rPr>
            <w:t xml:space="preserve">ed MAPE employees are welcome! </w:t>
          </w:r>
          <w:r w:rsidR="0098187C" w:rsidRPr="0098187C">
            <w:rPr>
              <w:rFonts w:cs="Calibri"/>
              <w:b/>
            </w:rPr>
            <w:t>We will cover the annual review process in the August 101.</w:t>
          </w:r>
          <w:r w:rsidR="007E62C5">
            <w:rPr>
              <w:rFonts w:cs="Calibri"/>
              <w:b/>
            </w:rPr>
            <w:br/>
          </w:r>
        </w:p>
        <w:p w:rsidR="007E62C5" w:rsidRPr="007E62C5" w:rsidRDefault="007E62C5" w:rsidP="007E62C5">
          <w:pPr>
            <w:pStyle w:val="ListParagraph"/>
            <w:numPr>
              <w:ilvl w:val="0"/>
              <w:numId w:val="32"/>
            </w:numPr>
            <w:spacing w:before="240" w:after="60" w:line="276" w:lineRule="auto"/>
            <w:rPr>
              <w:rFonts w:cs="Calibri"/>
            </w:rPr>
          </w:pPr>
          <w:r w:rsidRPr="007E62C5">
            <w:rPr>
              <w:rFonts w:cs="Calibri"/>
            </w:rPr>
            <w:t xml:space="preserve">We have telework mentors for those who need assistance. Please contact  </w:t>
          </w:r>
          <w:hyperlink r:id="rId14" w:history="1">
            <w:r w:rsidRPr="00D776DA">
              <w:rPr>
                <w:rStyle w:val="Hyperlink"/>
                <w:rFonts w:cs="Calibri"/>
              </w:rPr>
              <w:t>dhs.teleworkmentors@state.mn.us</w:t>
            </w:r>
          </w:hyperlink>
          <w:r>
            <w:rPr>
              <w:rFonts w:cs="Calibri"/>
            </w:rPr>
            <w:t xml:space="preserve"> </w:t>
          </w:r>
        </w:p>
        <w:p w:rsidR="00D904F9" w:rsidRPr="000F0FF5" w:rsidRDefault="00D904F9" w:rsidP="00D904F9">
          <w:pPr>
            <w:pStyle w:val="Heading2"/>
            <w:rPr>
              <w:rStyle w:val="Hyperlink"/>
              <w:rFonts w:ascii="Calibri" w:hAnsi="Calibri" w:cs="Calibri"/>
              <w:b w:val="0"/>
              <w:color w:val="auto"/>
            </w:rPr>
          </w:pPr>
          <w:r w:rsidRPr="000F0FF5">
            <w:t>Gift card winners!</w:t>
          </w:r>
        </w:p>
        <w:p w:rsidR="00D904F9" w:rsidRPr="000F0FF5" w:rsidRDefault="00D904F9" w:rsidP="00D904F9">
          <w:pPr>
            <w:pStyle w:val="ListParagraph"/>
            <w:numPr>
              <w:ilvl w:val="0"/>
              <w:numId w:val="30"/>
            </w:numPr>
            <w:spacing w:before="0" w:after="0" w:line="240" w:lineRule="auto"/>
            <w:rPr>
              <w:rFonts w:cs="Calibri"/>
              <w:b/>
            </w:rPr>
          </w:pPr>
          <w:r w:rsidRPr="000F0FF5">
            <w:rPr>
              <w:rFonts w:cs="Calibri"/>
            </w:rPr>
            <w:t xml:space="preserve">At our monthly meetings we draw four </w:t>
          </w:r>
          <w:r>
            <w:rPr>
              <w:rFonts w:cs="Calibri"/>
            </w:rPr>
            <w:t xml:space="preserve">member’s </w:t>
          </w:r>
          <w:r w:rsidRPr="000F0FF5">
            <w:rPr>
              <w:rFonts w:cs="Calibri"/>
            </w:rPr>
            <w:t>names for $20 gift cards</w:t>
          </w:r>
        </w:p>
        <w:p w:rsidR="00D904F9" w:rsidRPr="000F0FF5" w:rsidRDefault="00D904F9" w:rsidP="00BA420A">
          <w:pPr>
            <w:pStyle w:val="ListParagraph"/>
            <w:numPr>
              <w:ilvl w:val="0"/>
              <w:numId w:val="30"/>
            </w:numPr>
            <w:spacing w:before="0" w:after="0" w:line="240" w:lineRule="auto"/>
            <w:rPr>
              <w:rFonts w:cs="Calibri"/>
            </w:rPr>
          </w:pPr>
          <w:r w:rsidRPr="000F0FF5">
            <w:rPr>
              <w:rFonts w:cs="Calibri"/>
            </w:rPr>
            <w:t xml:space="preserve">This month’s meeting: </w:t>
          </w:r>
          <w:r w:rsidR="00BA420A" w:rsidRPr="00BA420A">
            <w:rPr>
              <w:rFonts w:cs="Calibri"/>
            </w:rPr>
            <w:t>Emily Talley</w:t>
          </w:r>
          <w:r w:rsidR="00BA420A">
            <w:rPr>
              <w:rFonts w:cs="Calibri"/>
            </w:rPr>
            <w:t xml:space="preserve">, </w:t>
          </w:r>
          <w:r w:rsidR="00BA420A" w:rsidRPr="00BA420A">
            <w:rPr>
              <w:rFonts w:cs="Calibri"/>
            </w:rPr>
            <w:t>Sandra Brace</w:t>
          </w:r>
          <w:r w:rsidR="00BA420A">
            <w:rPr>
              <w:rFonts w:cs="Calibri"/>
            </w:rPr>
            <w:t xml:space="preserve">, </w:t>
          </w:r>
          <w:r w:rsidR="00BA420A" w:rsidRPr="00BA420A">
            <w:rPr>
              <w:rFonts w:cs="Calibri"/>
            </w:rPr>
            <w:t>Kayla Nance</w:t>
          </w:r>
          <w:r w:rsidR="00BA420A">
            <w:rPr>
              <w:rFonts w:cs="Calibri"/>
            </w:rPr>
            <w:t xml:space="preserve">, and </w:t>
          </w:r>
          <w:r w:rsidR="00BA420A" w:rsidRPr="00BA420A">
            <w:rPr>
              <w:rFonts w:cs="Calibri"/>
            </w:rPr>
            <w:t>Stephen Laqua</w:t>
          </w:r>
        </w:p>
        <w:p w:rsidR="00D904F9" w:rsidRPr="000F0FF5" w:rsidRDefault="00D904F9" w:rsidP="00D904F9">
          <w:pPr>
            <w:pStyle w:val="Heading2"/>
            <w:spacing w:after="0" w:line="240" w:lineRule="auto"/>
            <w:contextualSpacing/>
            <w:rPr>
              <w:rFonts w:ascii="Calibri" w:hAnsi="Calibri" w:cs="Calibri"/>
              <w:szCs w:val="24"/>
            </w:rPr>
          </w:pPr>
          <w:r w:rsidRPr="000F0FF5">
            <w:rPr>
              <w:rFonts w:ascii="Calibri" w:hAnsi="Calibri" w:cs="Calibri"/>
              <w:szCs w:val="24"/>
            </w:rPr>
            <w:t>Upcoming meetings</w:t>
          </w:r>
        </w:p>
        <w:p w:rsidR="00D904F9" w:rsidRPr="000F0FF5" w:rsidRDefault="00D904F9" w:rsidP="00D904F9">
          <w:pPr>
            <w:pStyle w:val="ListParagraph"/>
            <w:numPr>
              <w:ilvl w:val="0"/>
              <w:numId w:val="28"/>
            </w:numPr>
            <w:spacing w:before="0" w:after="0" w:line="240" w:lineRule="auto"/>
            <w:rPr>
              <w:rFonts w:cs="Calibri"/>
              <w:color w:val="FF0000"/>
            </w:rPr>
          </w:pPr>
          <w:r w:rsidRPr="000F0FF5">
            <w:rPr>
              <w:rFonts w:cs="Calibri"/>
            </w:rPr>
            <w:t xml:space="preserve">Next Officers’ meeting: Thursday, </w:t>
          </w:r>
          <w:r w:rsidR="00715FE5">
            <w:rPr>
              <w:rFonts w:cs="Calibri"/>
            </w:rPr>
            <w:t xml:space="preserve">August 29, 2021, </w:t>
          </w:r>
          <w:r w:rsidRPr="000F0FF5">
            <w:rPr>
              <w:rFonts w:cs="Calibri"/>
            </w:rPr>
            <w:t xml:space="preserve">12:00 – 1:00 p.m., via WebEx. Let Liz Pearson know if you would like the invite. </w:t>
          </w:r>
        </w:p>
        <w:p w:rsidR="00D904F9" w:rsidRPr="00D904F9" w:rsidRDefault="00D904F9" w:rsidP="00AB65FF">
          <w:pPr>
            <w:pStyle w:val="ListParagraph"/>
            <w:numPr>
              <w:ilvl w:val="0"/>
              <w:numId w:val="28"/>
            </w:numPr>
            <w:spacing w:before="0" w:after="0" w:line="276" w:lineRule="auto"/>
            <w:rPr>
              <w:rFonts w:cs="Calibri"/>
              <w:color w:val="FF0000"/>
            </w:rPr>
          </w:pPr>
          <w:r w:rsidRPr="000F0FF5">
            <w:rPr>
              <w:rFonts w:cs="Calibri"/>
            </w:rPr>
            <w:t xml:space="preserve">Next General Meeting: Tuesday, </w:t>
          </w:r>
          <w:r w:rsidR="00715FE5">
            <w:rPr>
              <w:rFonts w:cs="Calibri"/>
            </w:rPr>
            <w:t>September 14</w:t>
          </w:r>
          <w:r w:rsidRPr="000F0FF5">
            <w:rPr>
              <w:rFonts w:cs="Calibri"/>
            </w:rPr>
            <w:t>, 2021, 12:00 – 1:00 p.m., via WebEx. Stay tuned for the invite!</w:t>
          </w:r>
        </w:p>
        <w:p w:rsidR="00BC3C7C" w:rsidRPr="009A1A5C" w:rsidRDefault="00E32DAD" w:rsidP="00AB65FF">
          <w:pPr>
            <w:rPr>
              <w:szCs w:val="20"/>
            </w:rPr>
          </w:pPr>
        </w:p>
      </w:sdtContent>
    </w:sdt>
    <w:sectPr w:rsidR="00BC3C7C" w:rsidRPr="009A1A5C" w:rsidSect="00B437C8">
      <w:footerReference w:type="default" r:id="rId15"/>
      <w:footerReference w:type="first" r:id="rId1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F9" w:rsidRDefault="00D904F9" w:rsidP="00D91FF4">
      <w:r>
        <w:separator/>
      </w:r>
    </w:p>
  </w:endnote>
  <w:endnote w:type="continuationSeparator" w:id="0">
    <w:p w:rsidR="00D904F9" w:rsidRDefault="00D904F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E32DAD">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1C045E">
          <w:t>Local 2101 MAPE Meeting – August 10</w:t>
        </w:r>
        <w:r w:rsidR="00D904F9">
          <w:t>, 2021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Pr>
        <w:noProof/>
      </w:rPr>
      <w:t>2</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F9" w:rsidRDefault="00D904F9" w:rsidP="00D91FF4">
      <w:r>
        <w:separator/>
      </w:r>
    </w:p>
  </w:footnote>
  <w:footnote w:type="continuationSeparator" w:id="0">
    <w:p w:rsidR="00D904F9" w:rsidRDefault="00D904F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5pt;height:25.3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B51143"/>
    <w:multiLevelType w:val="hybridMultilevel"/>
    <w:tmpl w:val="BCA24D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33BA1"/>
    <w:multiLevelType w:val="hybridMultilevel"/>
    <w:tmpl w:val="1D00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3560A9"/>
    <w:multiLevelType w:val="hybridMultilevel"/>
    <w:tmpl w:val="EC8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7"/>
  </w:num>
  <w:num w:numId="4">
    <w:abstractNumId w:val="23"/>
  </w:num>
  <w:num w:numId="5">
    <w:abstractNumId w:val="20"/>
  </w:num>
  <w:num w:numId="6">
    <w:abstractNumId w:val="4"/>
  </w:num>
  <w:num w:numId="7">
    <w:abstractNumId w:val="15"/>
  </w:num>
  <w:num w:numId="8">
    <w:abstractNumId w:val="8"/>
  </w:num>
  <w:num w:numId="9">
    <w:abstractNumId w:val="13"/>
  </w:num>
  <w:num w:numId="10">
    <w:abstractNumId w:val="2"/>
  </w:num>
  <w:num w:numId="11">
    <w:abstractNumId w:val="2"/>
  </w:num>
  <w:num w:numId="12">
    <w:abstractNumId w:val="28"/>
  </w:num>
  <w:num w:numId="13">
    <w:abstractNumId w:val="30"/>
  </w:num>
  <w:num w:numId="14">
    <w:abstractNumId w:val="17"/>
  </w:num>
  <w:num w:numId="15">
    <w:abstractNumId w:val="2"/>
  </w:num>
  <w:num w:numId="16">
    <w:abstractNumId w:val="30"/>
  </w:num>
  <w:num w:numId="17">
    <w:abstractNumId w:val="17"/>
  </w:num>
  <w:num w:numId="18">
    <w:abstractNumId w:val="10"/>
  </w:num>
  <w:num w:numId="19">
    <w:abstractNumId w:val="5"/>
  </w:num>
  <w:num w:numId="20">
    <w:abstractNumId w:val="1"/>
  </w:num>
  <w:num w:numId="21">
    <w:abstractNumId w:val="0"/>
  </w:num>
  <w:num w:numId="22">
    <w:abstractNumId w:val="9"/>
  </w:num>
  <w:num w:numId="23">
    <w:abstractNumId w:val="22"/>
  </w:num>
  <w:num w:numId="24">
    <w:abstractNumId w:val="24"/>
  </w:num>
  <w:num w:numId="25">
    <w:abstractNumId w:val="24"/>
  </w:num>
  <w:num w:numId="26">
    <w:abstractNumId w:val="25"/>
  </w:num>
  <w:num w:numId="27">
    <w:abstractNumId w:val="14"/>
  </w:num>
  <w:num w:numId="28">
    <w:abstractNumId w:val="12"/>
  </w:num>
  <w:num w:numId="29">
    <w:abstractNumId w:val="21"/>
  </w:num>
  <w:num w:numId="30">
    <w:abstractNumId w:val="31"/>
  </w:num>
  <w:num w:numId="31">
    <w:abstractNumId w:val="19"/>
  </w:num>
  <w:num w:numId="32">
    <w:abstractNumId w:val="11"/>
  </w:num>
  <w:num w:numId="33">
    <w:abstractNumId w:val="26"/>
  </w:num>
  <w:num w:numId="34">
    <w:abstractNumId w:val="16"/>
  </w:num>
  <w:num w:numId="35">
    <w:abstractNumId w:val="29"/>
  </w:num>
  <w:num w:numId="36">
    <w:abstractNumId w:val="7"/>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432"/>
    <w:rsid w:val="00147ED1"/>
    <w:rsid w:val="001500D6"/>
    <w:rsid w:val="00157C41"/>
    <w:rsid w:val="0016451B"/>
    <w:rsid w:val="001661D9"/>
    <w:rsid w:val="001707E5"/>
    <w:rsid w:val="001708EC"/>
    <w:rsid w:val="001925A8"/>
    <w:rsid w:val="0019673D"/>
    <w:rsid w:val="00197518"/>
    <w:rsid w:val="00197F44"/>
    <w:rsid w:val="001A46BB"/>
    <w:rsid w:val="001B6FD0"/>
    <w:rsid w:val="001B7D48"/>
    <w:rsid w:val="001C045E"/>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306BB"/>
    <w:rsid w:val="00330A0B"/>
    <w:rsid w:val="0033297D"/>
    <w:rsid w:val="00334086"/>
    <w:rsid w:val="00335736"/>
    <w:rsid w:val="00336437"/>
    <w:rsid w:val="003563D2"/>
    <w:rsid w:val="00376FA5"/>
    <w:rsid w:val="003A1479"/>
    <w:rsid w:val="003A1813"/>
    <w:rsid w:val="003B7D82"/>
    <w:rsid w:val="003C4644"/>
    <w:rsid w:val="003C5BE3"/>
    <w:rsid w:val="00413A7C"/>
    <w:rsid w:val="004141DD"/>
    <w:rsid w:val="00442DF1"/>
    <w:rsid w:val="00443DC4"/>
    <w:rsid w:val="00454F83"/>
    <w:rsid w:val="00461804"/>
    <w:rsid w:val="004643F7"/>
    <w:rsid w:val="00466810"/>
    <w:rsid w:val="0047706A"/>
    <w:rsid w:val="004816B5"/>
    <w:rsid w:val="00483DD2"/>
    <w:rsid w:val="00494E6F"/>
    <w:rsid w:val="004A1B4D"/>
    <w:rsid w:val="004A58DD"/>
    <w:rsid w:val="004A6119"/>
    <w:rsid w:val="004B17D6"/>
    <w:rsid w:val="004B47DC"/>
    <w:rsid w:val="004E3DF6"/>
    <w:rsid w:val="004E75B3"/>
    <w:rsid w:val="004F04BA"/>
    <w:rsid w:val="004F0EFF"/>
    <w:rsid w:val="0050093F"/>
    <w:rsid w:val="00514788"/>
    <w:rsid w:val="0054371B"/>
    <w:rsid w:val="0056615E"/>
    <w:rsid w:val="005666F2"/>
    <w:rsid w:val="0057515F"/>
    <w:rsid w:val="0058227B"/>
    <w:rsid w:val="00594C27"/>
    <w:rsid w:val="005B2DDF"/>
    <w:rsid w:val="005B4AE7"/>
    <w:rsid w:val="005B53B0"/>
    <w:rsid w:val="005C16D8"/>
    <w:rsid w:val="005D4207"/>
    <w:rsid w:val="005D4525"/>
    <w:rsid w:val="005D45B3"/>
    <w:rsid w:val="005E3FC1"/>
    <w:rsid w:val="005F6005"/>
    <w:rsid w:val="00601B3F"/>
    <w:rsid w:val="006064AB"/>
    <w:rsid w:val="0061472B"/>
    <w:rsid w:val="00621BD2"/>
    <w:rsid w:val="00622BB5"/>
    <w:rsid w:val="00633A86"/>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6F4E68"/>
    <w:rsid w:val="007137A4"/>
    <w:rsid w:val="00715FE5"/>
    <w:rsid w:val="0073446B"/>
    <w:rsid w:val="0074778B"/>
    <w:rsid w:val="0077225E"/>
    <w:rsid w:val="007857F7"/>
    <w:rsid w:val="00793F48"/>
    <w:rsid w:val="007B35B2"/>
    <w:rsid w:val="007D1FFF"/>
    <w:rsid w:val="007D42A0"/>
    <w:rsid w:val="007E62C5"/>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187C"/>
    <w:rsid w:val="009837DB"/>
    <w:rsid w:val="00984CC9"/>
    <w:rsid w:val="00987E10"/>
    <w:rsid w:val="00990E51"/>
    <w:rsid w:val="0099233F"/>
    <w:rsid w:val="009A1A5C"/>
    <w:rsid w:val="009B54A0"/>
    <w:rsid w:val="009C6405"/>
    <w:rsid w:val="009F6B2C"/>
    <w:rsid w:val="00A30799"/>
    <w:rsid w:val="00A476C1"/>
    <w:rsid w:val="00A57FE8"/>
    <w:rsid w:val="00A64ECE"/>
    <w:rsid w:val="00A66185"/>
    <w:rsid w:val="00A71CAD"/>
    <w:rsid w:val="00A731A2"/>
    <w:rsid w:val="00A827B0"/>
    <w:rsid w:val="00A827C1"/>
    <w:rsid w:val="00A835DA"/>
    <w:rsid w:val="00A86AF9"/>
    <w:rsid w:val="00A92AFF"/>
    <w:rsid w:val="00A93F40"/>
    <w:rsid w:val="00A96F93"/>
    <w:rsid w:val="00AB1F46"/>
    <w:rsid w:val="00AB65FF"/>
    <w:rsid w:val="00AD122F"/>
    <w:rsid w:val="00AD39DA"/>
    <w:rsid w:val="00AD5DFE"/>
    <w:rsid w:val="00AE5772"/>
    <w:rsid w:val="00AF1556"/>
    <w:rsid w:val="00AF22AD"/>
    <w:rsid w:val="00AF5107"/>
    <w:rsid w:val="00AF59E3"/>
    <w:rsid w:val="00B06264"/>
    <w:rsid w:val="00B07C8F"/>
    <w:rsid w:val="00B275D4"/>
    <w:rsid w:val="00B3371D"/>
    <w:rsid w:val="00B437C8"/>
    <w:rsid w:val="00B468B9"/>
    <w:rsid w:val="00B75051"/>
    <w:rsid w:val="00B77CC5"/>
    <w:rsid w:val="00B80F19"/>
    <w:rsid w:val="00B859DE"/>
    <w:rsid w:val="00BA420A"/>
    <w:rsid w:val="00BA5304"/>
    <w:rsid w:val="00BC3C7C"/>
    <w:rsid w:val="00BD0E59"/>
    <w:rsid w:val="00BE0288"/>
    <w:rsid w:val="00BE3444"/>
    <w:rsid w:val="00C05A8E"/>
    <w:rsid w:val="00C12D2F"/>
    <w:rsid w:val="00C277A8"/>
    <w:rsid w:val="00C309AE"/>
    <w:rsid w:val="00C365CE"/>
    <w:rsid w:val="00C417EB"/>
    <w:rsid w:val="00C528AE"/>
    <w:rsid w:val="00C87E0E"/>
    <w:rsid w:val="00C90830"/>
    <w:rsid w:val="00CA5D23"/>
    <w:rsid w:val="00CD7A3F"/>
    <w:rsid w:val="00CE0FEE"/>
    <w:rsid w:val="00CE45B0"/>
    <w:rsid w:val="00CF1393"/>
    <w:rsid w:val="00CF2A88"/>
    <w:rsid w:val="00CF4F3A"/>
    <w:rsid w:val="00D0014D"/>
    <w:rsid w:val="00D12029"/>
    <w:rsid w:val="00D22819"/>
    <w:rsid w:val="00D33929"/>
    <w:rsid w:val="00D511F0"/>
    <w:rsid w:val="00D54EE5"/>
    <w:rsid w:val="00D63F82"/>
    <w:rsid w:val="00D640FC"/>
    <w:rsid w:val="00D70F7D"/>
    <w:rsid w:val="00D761F7"/>
    <w:rsid w:val="00D904F9"/>
    <w:rsid w:val="00D91FF4"/>
    <w:rsid w:val="00D92929"/>
    <w:rsid w:val="00D93C2E"/>
    <w:rsid w:val="00D970A5"/>
    <w:rsid w:val="00DA41EA"/>
    <w:rsid w:val="00DB4967"/>
    <w:rsid w:val="00DC1A1C"/>
    <w:rsid w:val="00DC22CF"/>
    <w:rsid w:val="00DE50CB"/>
    <w:rsid w:val="00E206AE"/>
    <w:rsid w:val="00E20F02"/>
    <w:rsid w:val="00E229C1"/>
    <w:rsid w:val="00E23397"/>
    <w:rsid w:val="00E32CD7"/>
    <w:rsid w:val="00E32DAD"/>
    <w:rsid w:val="00E37DF5"/>
    <w:rsid w:val="00E44EE1"/>
    <w:rsid w:val="00E5241D"/>
    <w:rsid w:val="00E55EE8"/>
    <w:rsid w:val="00E5680C"/>
    <w:rsid w:val="00E61A16"/>
    <w:rsid w:val="00E652FC"/>
    <w:rsid w:val="00E7358D"/>
    <w:rsid w:val="00E76267"/>
    <w:rsid w:val="00EA535B"/>
    <w:rsid w:val="00EC579D"/>
    <w:rsid w:val="00ED5BDC"/>
    <w:rsid w:val="00ED7DAC"/>
    <w:rsid w:val="00F067A6"/>
    <w:rsid w:val="00F11016"/>
    <w:rsid w:val="00F20B25"/>
    <w:rsid w:val="00F212F3"/>
    <w:rsid w:val="00F278C3"/>
    <w:rsid w:val="00F70C03"/>
    <w:rsid w:val="00F9084A"/>
    <w:rsid w:val="00FB6E40"/>
    <w:rsid w:val="00FD1CCB"/>
    <w:rsid w:val="00FD5BF8"/>
    <w:rsid w:val="00FE1C2F"/>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9F944"/>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mape.org/join-ma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e.org/join-ma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e.org/news/contract-ta-takeaway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llinahealth.org/courage-kenny-rehabilitation-institute/courage-kenny-foundation" TargetMode="External"/><Relationship Id="rId4" Type="http://schemas.openxmlformats.org/officeDocument/2006/relationships/settings" Target="settings.xml"/><Relationship Id="rId9" Type="http://schemas.openxmlformats.org/officeDocument/2006/relationships/hyperlink" Target="https://theopendoorpantry.org/" TargetMode="External"/><Relationship Id="rId14" Type="http://schemas.openxmlformats.org/officeDocument/2006/relationships/hyperlink" Target="mailto:dhs.teleworkmentors@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6040-A175-4014-897D-3DC60D28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7</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Local 2101 MAPE Meeting – August 10, 2021</vt:lpstr>
    </vt:vector>
  </TitlesOfParts>
  <Manager/>
  <Company>Minnesota Department of Human Services</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August 10, 2021</dc:title>
  <dc:subject/>
  <dc:creator>Pearson, Elizabeth</dc:creator>
  <cp:keywords/>
  <dc:description/>
  <cp:lastModifiedBy>Smith, Gina A (DHS)</cp:lastModifiedBy>
  <cp:revision>7</cp:revision>
  <dcterms:created xsi:type="dcterms:W3CDTF">2021-08-11T21:56:00Z</dcterms:created>
  <dcterms:modified xsi:type="dcterms:W3CDTF">2021-08-12T14:40:00Z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