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8BFB" w14:textId="77777777" w:rsidR="00976CB6" w:rsidRPr="004C4699" w:rsidRDefault="00DF70C5" w:rsidP="004C4699">
      <w:pPr>
        <w:pStyle w:val="Title"/>
        <w:spacing w:after="120" w:line="276" w:lineRule="auto"/>
        <w:jc w:val="center"/>
        <w:rPr>
          <w:rFonts w:ascii="Georgia" w:eastAsia="Georgia" w:hAnsi="Georgia" w:cs="Georgia"/>
          <w:b/>
          <w:color w:val="000000"/>
          <w:sz w:val="36"/>
          <w:szCs w:val="36"/>
        </w:rPr>
      </w:pPr>
      <w:r w:rsidRPr="004C4699">
        <w:rPr>
          <w:rFonts w:ascii="Georgia" w:eastAsia="Georgia" w:hAnsi="Georgia" w:cs="Georgia"/>
          <w:b/>
          <w:color w:val="000000"/>
          <w:sz w:val="36"/>
          <w:szCs w:val="36"/>
        </w:rPr>
        <w:t>Executive Committee Minutes</w:t>
      </w:r>
    </w:p>
    <w:p w14:paraId="505CF306" w14:textId="499D277C" w:rsidR="00976CB6" w:rsidRPr="004C4699" w:rsidRDefault="00707816" w:rsidP="004C4699">
      <w:pPr>
        <w:pStyle w:val="Heading4"/>
        <w:spacing w:before="120" w:after="120" w:line="276" w:lineRule="auto"/>
        <w:rPr>
          <w:rFonts w:ascii="Georgia" w:eastAsia="Georgia" w:hAnsi="Georgia" w:cs="Georgia"/>
        </w:rPr>
      </w:pPr>
      <w:bookmarkStart w:id="0" w:name="_heading=h.pawseb1f8wjf" w:colFirst="0" w:colLast="0"/>
      <w:bookmarkEnd w:id="0"/>
      <w:r>
        <w:rPr>
          <w:rFonts w:ascii="Georgia" w:eastAsia="Georgia" w:hAnsi="Georgia" w:cs="Georgia"/>
        </w:rPr>
        <w:t>22</w:t>
      </w:r>
      <w:r w:rsidR="00DF70C5" w:rsidRPr="004C4699">
        <w:rPr>
          <w:rFonts w:ascii="Georgia" w:eastAsia="Georgia" w:hAnsi="Georgia" w:cs="Georgia"/>
        </w:rPr>
        <w:t xml:space="preserve"> </w:t>
      </w:r>
      <w:r w:rsidR="00E02825">
        <w:rPr>
          <w:rFonts w:ascii="Georgia" w:eastAsia="Georgia" w:hAnsi="Georgia" w:cs="Georgia"/>
        </w:rPr>
        <w:t>December</w:t>
      </w:r>
      <w:r w:rsidR="00AE34BE">
        <w:rPr>
          <w:rFonts w:ascii="Georgia" w:eastAsia="Georgia" w:hAnsi="Georgia" w:cs="Georgia"/>
        </w:rPr>
        <w:t xml:space="preserve"> </w:t>
      </w:r>
      <w:r w:rsidR="00DF70C5" w:rsidRPr="004C4699">
        <w:rPr>
          <w:rFonts w:ascii="Georgia" w:eastAsia="Georgia" w:hAnsi="Georgia" w:cs="Georgia"/>
        </w:rPr>
        <w:t>2021</w:t>
      </w:r>
    </w:p>
    <w:p w14:paraId="1338319C" w14:textId="685A76DE" w:rsidR="00976CB6" w:rsidRDefault="00DF70C5" w:rsidP="00B91088">
      <w:pPr>
        <w:spacing w:before="120" w:after="120" w:line="276" w:lineRule="auto"/>
        <w:rPr>
          <w:rFonts w:ascii="Georgia" w:eastAsia="Georgia" w:hAnsi="Georgia" w:cs="Georgia"/>
        </w:rPr>
      </w:pPr>
      <w:r w:rsidRPr="004C4699">
        <w:rPr>
          <w:rFonts w:ascii="Georgia" w:eastAsia="Georgia" w:hAnsi="Georgia" w:cs="Georgia"/>
        </w:rPr>
        <w:t xml:space="preserve">Present: President Megan Dayton, Vice President Angela </w:t>
      </w:r>
      <w:proofErr w:type="spellStart"/>
      <w:r w:rsidRPr="004C4699">
        <w:rPr>
          <w:rFonts w:ascii="Georgia" w:eastAsia="Georgia" w:hAnsi="Georgia" w:cs="Georgia"/>
        </w:rPr>
        <w:t>Halseth</w:t>
      </w:r>
      <w:proofErr w:type="spellEnd"/>
      <w:r w:rsidRPr="004C4699">
        <w:rPr>
          <w:rFonts w:ascii="Georgia" w:eastAsia="Georgia" w:hAnsi="Georgia" w:cs="Georgia"/>
        </w:rPr>
        <w:t xml:space="preserve">, Treasurer Todd Maki, </w:t>
      </w:r>
      <w:r w:rsidR="00E02825">
        <w:rPr>
          <w:rFonts w:ascii="Georgia" w:eastAsia="Georgia" w:hAnsi="Georgia" w:cs="Georgia"/>
        </w:rPr>
        <w:t xml:space="preserve">Secretary Michael Crider, </w:t>
      </w:r>
      <w:r w:rsidR="006C5AE2">
        <w:rPr>
          <w:rFonts w:ascii="Georgia" w:eastAsia="Georgia" w:hAnsi="Georgia" w:cs="Georgia"/>
        </w:rPr>
        <w:t>Political Council Chair Cathleen Cotter</w:t>
      </w:r>
      <w:r w:rsidR="006C5AE2">
        <w:rPr>
          <w:rFonts w:ascii="Georgia" w:eastAsia="Georgia" w:hAnsi="Georgia" w:cs="Georgia"/>
        </w:rPr>
        <w:t>,</w:t>
      </w:r>
      <w:r w:rsidR="006C5AE2" w:rsidRPr="004C4699">
        <w:rPr>
          <w:rFonts w:ascii="Georgia" w:eastAsia="Georgia" w:hAnsi="Georgia" w:cs="Georgia"/>
        </w:rPr>
        <w:t xml:space="preserve"> </w:t>
      </w:r>
      <w:r w:rsidRPr="004C4699">
        <w:rPr>
          <w:rFonts w:ascii="Georgia" w:eastAsia="Georgia" w:hAnsi="Georgia" w:cs="Georgia"/>
        </w:rPr>
        <w:t xml:space="preserve">Organizing Council Chair </w:t>
      </w:r>
      <w:r w:rsidR="00AE34BE">
        <w:rPr>
          <w:rFonts w:ascii="Georgia" w:eastAsia="Georgia" w:hAnsi="Georgia" w:cs="Georgia"/>
        </w:rPr>
        <w:t>Lauren Siegel</w:t>
      </w:r>
      <w:r w:rsidR="00AB0303">
        <w:rPr>
          <w:rFonts w:ascii="Georgia" w:eastAsia="Georgia" w:hAnsi="Georgia" w:cs="Georgia"/>
        </w:rPr>
        <w:t xml:space="preserve">, Interim co-Executive Director Leah Solo, Interim co-Executive Director Mike </w:t>
      </w:r>
      <w:proofErr w:type="spellStart"/>
      <w:r w:rsidR="00AB0303">
        <w:rPr>
          <w:rFonts w:ascii="Georgia" w:eastAsia="Georgia" w:hAnsi="Georgia" w:cs="Georgia"/>
        </w:rPr>
        <w:t>Asmus</w:t>
      </w:r>
      <w:proofErr w:type="spellEnd"/>
    </w:p>
    <w:p w14:paraId="1FEA180A" w14:textId="7F119260" w:rsidR="00976CB6" w:rsidRDefault="00AB0303" w:rsidP="004C4699">
      <w:pPr>
        <w:spacing w:before="120" w:after="120" w:line="276" w:lineRule="auto"/>
        <w:rPr>
          <w:rFonts w:ascii="Georgia" w:eastAsia="Georgia" w:hAnsi="Georgia" w:cs="Georgia"/>
          <w:b/>
        </w:rPr>
      </w:pPr>
      <w:r>
        <w:rPr>
          <w:rFonts w:ascii="Georgia" w:eastAsia="Georgia" w:hAnsi="Georgia" w:cs="Georgia"/>
          <w:b/>
        </w:rPr>
        <w:t xml:space="preserve">Meeting </w:t>
      </w:r>
      <w:r w:rsidR="00707816">
        <w:rPr>
          <w:rFonts w:ascii="Georgia" w:eastAsia="Georgia" w:hAnsi="Georgia" w:cs="Georgia"/>
          <w:b/>
        </w:rPr>
        <w:t>held via email</w:t>
      </w:r>
    </w:p>
    <w:p w14:paraId="2A41D672" w14:textId="6140E29E" w:rsidR="00A65D58" w:rsidRDefault="00707816" w:rsidP="00A65D58">
      <w:pPr>
        <w:spacing w:before="120" w:after="120" w:line="276" w:lineRule="auto"/>
        <w:rPr>
          <w:rFonts w:ascii="Georgia" w:eastAsia="Georgia" w:hAnsi="Georgia" w:cs="Georgia"/>
          <w:b/>
        </w:rPr>
      </w:pPr>
      <w:r>
        <w:rPr>
          <w:rFonts w:ascii="Georgia" w:eastAsia="Georgia" w:hAnsi="Georgia" w:cs="Georgia"/>
          <w:b/>
        </w:rPr>
        <w:t xml:space="preserve">Safety Footwear </w:t>
      </w:r>
      <w:r w:rsidR="006C5AE2">
        <w:rPr>
          <w:rFonts w:ascii="Georgia" w:eastAsia="Georgia" w:hAnsi="Georgia" w:cs="Georgia"/>
          <w:b/>
        </w:rPr>
        <w:t>Memorandum of Understanding (</w:t>
      </w:r>
      <w:r>
        <w:rPr>
          <w:rFonts w:ascii="Georgia" w:eastAsia="Georgia" w:hAnsi="Georgia" w:cs="Georgia"/>
          <w:b/>
        </w:rPr>
        <w:t>MOU</w:t>
      </w:r>
      <w:r w:rsidR="006C5AE2">
        <w:rPr>
          <w:rFonts w:ascii="Georgia" w:eastAsia="Georgia" w:hAnsi="Georgia" w:cs="Georgia"/>
          <w:b/>
        </w:rPr>
        <w:t>)</w:t>
      </w:r>
    </w:p>
    <w:p w14:paraId="19D7C0C7" w14:textId="5A445264" w:rsidR="00806698" w:rsidRPr="00E02825" w:rsidRDefault="00E02825" w:rsidP="00A65D58">
      <w:pPr>
        <w:spacing w:before="120" w:after="120" w:line="276" w:lineRule="auto"/>
        <w:rPr>
          <w:rFonts w:ascii="Georgia" w:eastAsia="Georgia" w:hAnsi="Georgia" w:cs="Georgia"/>
          <w:b/>
        </w:rPr>
      </w:pPr>
      <w:r w:rsidRPr="00E02825">
        <w:rPr>
          <w:rFonts w:ascii="Georgia" w:eastAsia="Georgia" w:hAnsi="Georgia" w:cs="Georgia"/>
          <w:b/>
        </w:rPr>
        <w:t>M</w:t>
      </w:r>
      <w:r>
        <w:rPr>
          <w:rFonts w:ascii="Georgia" w:eastAsia="Georgia" w:hAnsi="Georgia" w:cs="Georgia"/>
        </w:rPr>
        <w:t>(President)</w:t>
      </w:r>
      <w:r w:rsidRPr="00E02825">
        <w:rPr>
          <w:rFonts w:ascii="Georgia" w:eastAsia="Georgia" w:hAnsi="Georgia" w:cs="Georgia"/>
          <w:b/>
        </w:rPr>
        <w:t>SP</w:t>
      </w:r>
      <w:r>
        <w:rPr>
          <w:rFonts w:ascii="Georgia" w:eastAsia="Georgia" w:hAnsi="Georgia" w:cs="Georgia"/>
        </w:rPr>
        <w:t xml:space="preserve"> to </w:t>
      </w:r>
      <w:r w:rsidR="00707816">
        <w:rPr>
          <w:rFonts w:ascii="Georgia" w:eastAsia="Georgia" w:hAnsi="Georgia" w:cs="Georgia"/>
        </w:rPr>
        <w:t xml:space="preserve">recommend for a vote of the general membership </w:t>
      </w:r>
      <w:r>
        <w:rPr>
          <w:rFonts w:ascii="Georgia" w:eastAsia="Georgia" w:hAnsi="Georgia" w:cs="Georgia"/>
        </w:rPr>
        <w:t xml:space="preserve">the </w:t>
      </w:r>
      <w:r w:rsidR="00707816">
        <w:rPr>
          <w:rFonts w:ascii="Georgia" w:eastAsia="Georgia" w:hAnsi="Georgia" w:cs="Georgia"/>
        </w:rPr>
        <w:t>safety footwear MOU as drafted</w:t>
      </w:r>
      <w:r>
        <w:rPr>
          <w:rFonts w:ascii="Georgia" w:eastAsia="Georgia" w:hAnsi="Georgia" w:cs="Georgia"/>
        </w:rPr>
        <w:t xml:space="preserve">. </w:t>
      </w:r>
      <w:r>
        <w:rPr>
          <w:rFonts w:ascii="Georgia" w:eastAsia="Georgia" w:hAnsi="Georgia" w:cs="Georgia"/>
          <w:b/>
        </w:rPr>
        <w:t>Passes 5/0/</w:t>
      </w:r>
      <w:r w:rsidR="006C5AE2">
        <w:rPr>
          <w:rFonts w:ascii="Georgia" w:eastAsia="Georgia" w:hAnsi="Georgia" w:cs="Georgia"/>
          <w:b/>
        </w:rPr>
        <w:t>1</w:t>
      </w:r>
    </w:p>
    <w:p w14:paraId="777B2DEB" w14:textId="62D9B5C1" w:rsidR="00E02825" w:rsidRDefault="00E02825" w:rsidP="00A65D58">
      <w:pPr>
        <w:spacing w:before="120" w:after="120" w:line="276" w:lineRule="auto"/>
        <w:rPr>
          <w:rFonts w:ascii="Georgia" w:eastAsia="Georgia" w:hAnsi="Georgia" w:cs="Georgia"/>
        </w:rPr>
      </w:pPr>
      <w:r>
        <w:rPr>
          <w:rFonts w:ascii="Georgia" w:eastAsia="Georgia" w:hAnsi="Georgia" w:cs="Georgia"/>
        </w:rPr>
        <w:t xml:space="preserve">Yes: President, Vice President, </w:t>
      </w:r>
      <w:r w:rsidR="00707816">
        <w:rPr>
          <w:rFonts w:ascii="Georgia" w:eastAsia="Georgia" w:hAnsi="Georgia" w:cs="Georgia"/>
        </w:rPr>
        <w:t xml:space="preserve">Treasurer, </w:t>
      </w:r>
      <w:r>
        <w:rPr>
          <w:rFonts w:ascii="Georgia" w:eastAsia="Georgia" w:hAnsi="Georgia" w:cs="Georgia"/>
        </w:rPr>
        <w:t>Secretary, Organizing Council</w:t>
      </w:r>
    </w:p>
    <w:p w14:paraId="20B15C6F" w14:textId="58E92297" w:rsidR="00E02825" w:rsidRDefault="00E02825" w:rsidP="00A65D58">
      <w:pPr>
        <w:spacing w:before="120" w:after="120" w:line="276" w:lineRule="auto"/>
        <w:rPr>
          <w:rFonts w:ascii="Georgia" w:eastAsia="Georgia" w:hAnsi="Georgia" w:cs="Georgia"/>
        </w:rPr>
      </w:pPr>
      <w:r>
        <w:rPr>
          <w:rFonts w:ascii="Georgia" w:eastAsia="Georgia" w:hAnsi="Georgia" w:cs="Georgia"/>
        </w:rPr>
        <w:t>No: none</w:t>
      </w:r>
    </w:p>
    <w:p w14:paraId="02E0D7FF" w14:textId="26ED4324" w:rsidR="00E02825" w:rsidRDefault="00E02825" w:rsidP="006C5AE2">
      <w:pPr>
        <w:tabs>
          <w:tab w:val="left" w:pos="2080"/>
        </w:tabs>
        <w:spacing w:before="120" w:after="120" w:line="276" w:lineRule="auto"/>
        <w:rPr>
          <w:rFonts w:ascii="Georgia" w:eastAsia="Georgia" w:hAnsi="Georgia" w:cs="Georgia"/>
        </w:rPr>
      </w:pPr>
      <w:r>
        <w:rPr>
          <w:rFonts w:ascii="Georgia" w:eastAsia="Georgia" w:hAnsi="Georgia" w:cs="Georgia"/>
        </w:rPr>
        <w:t xml:space="preserve">Abstain: </w:t>
      </w:r>
      <w:r w:rsidR="006C5AE2">
        <w:rPr>
          <w:rFonts w:ascii="Georgia" w:eastAsia="Georgia" w:hAnsi="Georgia" w:cs="Georgia"/>
        </w:rPr>
        <w:t>Political Council</w:t>
      </w:r>
      <w:r w:rsidR="006C5AE2">
        <w:rPr>
          <w:rFonts w:ascii="Georgia" w:eastAsia="Georgia" w:hAnsi="Georgia" w:cs="Georgia"/>
        </w:rPr>
        <w:tab/>
      </w:r>
    </w:p>
    <w:p w14:paraId="071E59A4" w14:textId="07B3025D" w:rsidR="00A65D58" w:rsidRDefault="00707816" w:rsidP="00712FF8">
      <w:pPr>
        <w:spacing w:after="120" w:line="276" w:lineRule="auto"/>
        <w:rPr>
          <w:rFonts w:ascii="Georgia" w:eastAsia="Georgia" w:hAnsi="Georgia" w:cs="Georgia"/>
        </w:rPr>
      </w:pPr>
      <w:r>
        <w:rPr>
          <w:rFonts w:ascii="Georgia" w:eastAsia="Georgia" w:hAnsi="Georgia" w:cs="Georgia"/>
        </w:rPr>
        <w:t>Footwear MOU increases reimbursement for footwear from $125 to $175. 531 members voted in favor of the MOU while 19 members voted in opposition of the MOU. President Dayton signed the MOU on December 26</w:t>
      </w:r>
      <w:r w:rsidRPr="00707816">
        <w:rPr>
          <w:rFonts w:ascii="Georgia" w:eastAsia="Georgia" w:hAnsi="Georgia" w:cs="Georgia"/>
          <w:vertAlign w:val="superscript"/>
        </w:rPr>
        <w:t>th</w:t>
      </w:r>
      <w:r>
        <w:rPr>
          <w:rFonts w:ascii="Georgia" w:eastAsia="Georgia" w:hAnsi="Georgia" w:cs="Georgia"/>
        </w:rPr>
        <w:t xml:space="preserve"> 2021. A couple of Stewards asked about existing contract language. Article 22, Section 2: Safety Equipment says, “The Appointing Authority agrees to provide and maintain, without cost, such safety equipment and protective clothing as is required by the Appointing Authority, by O</w:t>
      </w:r>
      <w:bookmarkStart w:id="1" w:name="_GoBack"/>
      <w:bookmarkEnd w:id="1"/>
      <w:r>
        <w:rPr>
          <w:rFonts w:ascii="Georgia" w:eastAsia="Georgia" w:hAnsi="Georgia" w:cs="Georgia"/>
        </w:rPr>
        <w:t xml:space="preserve">SHA, or by the Federal Mine Safety and Health Administration.” The reading of the plain language of the contract seems to indicate that all safety equipment is fully reimbursable without limit. This is not the case. MGEC has this exact same language and arbitrated it in the </w:t>
      </w:r>
      <w:hyperlink r:id="rId8" w:history="1">
        <w:r w:rsidRPr="00707816">
          <w:rPr>
            <w:rStyle w:val="Hyperlink"/>
            <w:rFonts w:ascii="Georgia" w:eastAsia="Georgia" w:hAnsi="Georgia" w:cs="Georgia"/>
          </w:rPr>
          <w:t>2014 BMS Case No. 12 PA 0957</w:t>
        </w:r>
      </w:hyperlink>
      <w:r>
        <w:rPr>
          <w:rFonts w:ascii="Georgia" w:eastAsia="Georgia" w:hAnsi="Georgia" w:cs="Georgia"/>
        </w:rPr>
        <w:t xml:space="preserve">. The arbitrator decided in favor of the Appointing Authority meaning 1) employer-provided equipment is fully covered via the contract language and 2) in the case of the footwear, the policy trumps the contract language. </w:t>
      </w:r>
    </w:p>
    <w:p w14:paraId="1CF382DF" w14:textId="502DD113" w:rsidR="006C5AE2" w:rsidRDefault="006C5AE2" w:rsidP="006C5AE2">
      <w:pPr>
        <w:spacing w:before="120" w:after="120" w:line="276" w:lineRule="auto"/>
        <w:rPr>
          <w:rFonts w:ascii="Georgia" w:eastAsia="Georgia" w:hAnsi="Georgia" w:cs="Georgia"/>
          <w:b/>
        </w:rPr>
      </w:pPr>
      <w:r>
        <w:rPr>
          <w:rFonts w:ascii="Georgia" w:eastAsia="Georgia" w:hAnsi="Georgia" w:cs="Georgia"/>
          <w:b/>
        </w:rPr>
        <w:t>Department of Corrections Overtime Memorandum of Understanding (MOU)</w:t>
      </w:r>
    </w:p>
    <w:p w14:paraId="44F070C4" w14:textId="170015F4" w:rsidR="006C5AE2" w:rsidRPr="00E02825" w:rsidRDefault="006C5AE2" w:rsidP="006C5AE2">
      <w:pPr>
        <w:spacing w:before="120" w:after="120" w:line="276" w:lineRule="auto"/>
        <w:rPr>
          <w:rFonts w:ascii="Georgia" w:eastAsia="Georgia" w:hAnsi="Georgia" w:cs="Georgia"/>
          <w:b/>
        </w:rPr>
      </w:pPr>
      <w:r w:rsidRPr="00E02825">
        <w:rPr>
          <w:rFonts w:ascii="Georgia" w:eastAsia="Georgia" w:hAnsi="Georgia" w:cs="Georgia"/>
          <w:b/>
        </w:rPr>
        <w:t>M</w:t>
      </w:r>
      <w:r>
        <w:rPr>
          <w:rFonts w:ascii="Georgia" w:eastAsia="Georgia" w:hAnsi="Georgia" w:cs="Georgia"/>
        </w:rPr>
        <w:t>(President)</w:t>
      </w:r>
      <w:r w:rsidRPr="00E02825">
        <w:rPr>
          <w:rFonts w:ascii="Georgia" w:eastAsia="Georgia" w:hAnsi="Georgia" w:cs="Georgia"/>
          <w:b/>
        </w:rPr>
        <w:t>SP</w:t>
      </w:r>
      <w:r>
        <w:rPr>
          <w:rFonts w:ascii="Georgia" w:eastAsia="Georgia" w:hAnsi="Georgia" w:cs="Georgia"/>
        </w:rPr>
        <w:t xml:space="preserve"> to recommend for a vote of the </w:t>
      </w:r>
      <w:r>
        <w:rPr>
          <w:rFonts w:ascii="Georgia" w:eastAsia="Georgia" w:hAnsi="Georgia" w:cs="Georgia"/>
        </w:rPr>
        <w:t xml:space="preserve">affected </w:t>
      </w:r>
      <w:r>
        <w:rPr>
          <w:rFonts w:ascii="Georgia" w:eastAsia="Georgia" w:hAnsi="Georgia" w:cs="Georgia"/>
        </w:rPr>
        <w:t xml:space="preserve">membership the </w:t>
      </w:r>
      <w:r>
        <w:rPr>
          <w:rFonts w:ascii="Georgia" w:eastAsia="Georgia" w:hAnsi="Georgia" w:cs="Georgia"/>
        </w:rPr>
        <w:t xml:space="preserve">DOC overtime MOU </w:t>
      </w:r>
      <w:r>
        <w:rPr>
          <w:rFonts w:ascii="Georgia" w:eastAsia="Georgia" w:hAnsi="Georgia" w:cs="Georgia"/>
        </w:rPr>
        <w:t xml:space="preserve">as drafted. </w:t>
      </w:r>
      <w:r>
        <w:rPr>
          <w:rFonts w:ascii="Georgia" w:eastAsia="Georgia" w:hAnsi="Georgia" w:cs="Georgia"/>
          <w:b/>
        </w:rPr>
        <w:t xml:space="preserve">Passes </w:t>
      </w:r>
      <w:r>
        <w:rPr>
          <w:rFonts w:ascii="Georgia" w:eastAsia="Georgia" w:hAnsi="Georgia" w:cs="Georgia"/>
          <w:b/>
        </w:rPr>
        <w:t>4</w:t>
      </w:r>
      <w:r>
        <w:rPr>
          <w:rFonts w:ascii="Georgia" w:eastAsia="Georgia" w:hAnsi="Georgia" w:cs="Georgia"/>
          <w:b/>
        </w:rPr>
        <w:t>/0/</w:t>
      </w:r>
      <w:r>
        <w:rPr>
          <w:rFonts w:ascii="Georgia" w:eastAsia="Georgia" w:hAnsi="Georgia" w:cs="Georgia"/>
          <w:b/>
        </w:rPr>
        <w:t>2</w:t>
      </w:r>
    </w:p>
    <w:p w14:paraId="5722DB2E" w14:textId="1DFA43EC" w:rsidR="006C5AE2" w:rsidRDefault="006C5AE2" w:rsidP="006C5AE2">
      <w:pPr>
        <w:spacing w:before="120" w:after="120" w:line="276" w:lineRule="auto"/>
        <w:rPr>
          <w:rFonts w:ascii="Georgia" w:eastAsia="Georgia" w:hAnsi="Georgia" w:cs="Georgia"/>
        </w:rPr>
      </w:pPr>
      <w:r>
        <w:rPr>
          <w:rFonts w:ascii="Georgia" w:eastAsia="Georgia" w:hAnsi="Georgia" w:cs="Georgia"/>
        </w:rPr>
        <w:lastRenderedPageBreak/>
        <w:t>Yes: President, Vice President, Secretary, Organizing Council</w:t>
      </w:r>
    </w:p>
    <w:p w14:paraId="6F3F5497" w14:textId="77777777" w:rsidR="006C5AE2" w:rsidRDefault="006C5AE2" w:rsidP="006C5AE2">
      <w:pPr>
        <w:spacing w:before="120" w:after="120" w:line="276" w:lineRule="auto"/>
        <w:rPr>
          <w:rFonts w:ascii="Georgia" w:eastAsia="Georgia" w:hAnsi="Georgia" w:cs="Georgia"/>
        </w:rPr>
      </w:pPr>
      <w:r>
        <w:rPr>
          <w:rFonts w:ascii="Georgia" w:eastAsia="Georgia" w:hAnsi="Georgia" w:cs="Georgia"/>
        </w:rPr>
        <w:t>No: none</w:t>
      </w:r>
    </w:p>
    <w:p w14:paraId="6B9D1FBC" w14:textId="766DAA41" w:rsidR="006C5AE2" w:rsidRDefault="006C5AE2" w:rsidP="006C5AE2">
      <w:pPr>
        <w:tabs>
          <w:tab w:val="left" w:pos="1920"/>
        </w:tabs>
        <w:spacing w:before="120" w:after="120" w:line="276" w:lineRule="auto"/>
        <w:rPr>
          <w:rFonts w:ascii="Georgia" w:eastAsia="Georgia" w:hAnsi="Georgia" w:cs="Georgia"/>
        </w:rPr>
      </w:pPr>
      <w:r>
        <w:rPr>
          <w:rFonts w:ascii="Georgia" w:eastAsia="Georgia" w:hAnsi="Georgia" w:cs="Georgia"/>
        </w:rPr>
        <w:t xml:space="preserve">Abstain: </w:t>
      </w:r>
      <w:r>
        <w:rPr>
          <w:rFonts w:ascii="Georgia" w:eastAsia="Georgia" w:hAnsi="Georgia" w:cs="Georgia"/>
        </w:rPr>
        <w:t>Treasurer, Political Council</w:t>
      </w:r>
    </w:p>
    <w:p w14:paraId="796E710A" w14:textId="3CEF6F67" w:rsidR="006C5AE2" w:rsidRPr="00707816" w:rsidRDefault="006C5AE2" w:rsidP="00712FF8">
      <w:pPr>
        <w:spacing w:after="120" w:line="276" w:lineRule="auto"/>
        <w:rPr>
          <w:color w:val="000000"/>
        </w:rPr>
      </w:pPr>
      <w:r>
        <w:rPr>
          <w:color w:val="000000"/>
        </w:rPr>
        <w:t xml:space="preserve">DOC overtime MOU provides 1) employees who voluntarily work an employer approved and designated FLSA non-exempt overtime assignment, shall be compensated at the rate of time and one-half of the employee’s regular hourly rate for all hours worked during the FLSA non-exempt assignment and 2) employees working an FLSA non-exempt overtime assignment shall receive a shift differential of sixty-five ($0.65) for all hours worked before 0600 and after 1900. Business Agent </w:t>
      </w:r>
      <w:proofErr w:type="spellStart"/>
      <w:r>
        <w:rPr>
          <w:color w:val="000000"/>
        </w:rPr>
        <w:t>Prokopf</w:t>
      </w:r>
      <w:proofErr w:type="spellEnd"/>
      <w:r>
        <w:rPr>
          <w:color w:val="000000"/>
        </w:rPr>
        <w:t xml:space="preserve"> requested a retroactive effective date to cover the holidays and the request was denied on the basis of other bargaining units agreeing to the MOU without a retroactive effective date. </w:t>
      </w:r>
      <w:r>
        <w:rPr>
          <w:rFonts w:ascii="Georgia" w:eastAsia="Georgia" w:hAnsi="Georgia" w:cs="Georgia"/>
        </w:rPr>
        <w:t>111</w:t>
      </w:r>
      <w:r>
        <w:rPr>
          <w:rFonts w:ascii="Georgia" w:eastAsia="Georgia" w:hAnsi="Georgia" w:cs="Georgia"/>
        </w:rPr>
        <w:t xml:space="preserve"> members voted in favor of the MOU while </w:t>
      </w:r>
      <w:r>
        <w:rPr>
          <w:rFonts w:ascii="Georgia" w:eastAsia="Georgia" w:hAnsi="Georgia" w:cs="Georgia"/>
        </w:rPr>
        <w:t>2</w:t>
      </w:r>
      <w:r>
        <w:rPr>
          <w:rFonts w:ascii="Georgia" w:eastAsia="Georgia" w:hAnsi="Georgia" w:cs="Georgia"/>
        </w:rPr>
        <w:t xml:space="preserve"> members voted in opposition of the MOU.</w:t>
      </w:r>
      <w:r>
        <w:rPr>
          <w:rFonts w:ascii="Georgia" w:eastAsia="Georgia" w:hAnsi="Georgia" w:cs="Georgia"/>
        </w:rPr>
        <w:t xml:space="preserve"> President Dayton signed the MOU on December 28</w:t>
      </w:r>
      <w:r w:rsidRPr="006C5AE2">
        <w:rPr>
          <w:rFonts w:ascii="Georgia" w:eastAsia="Georgia" w:hAnsi="Georgia" w:cs="Georgia"/>
          <w:vertAlign w:val="superscript"/>
        </w:rPr>
        <w:t>th</w:t>
      </w:r>
      <w:r>
        <w:rPr>
          <w:rFonts w:ascii="Georgia" w:eastAsia="Georgia" w:hAnsi="Georgia" w:cs="Georgia"/>
        </w:rPr>
        <w:t xml:space="preserve"> 2021. The Executive Committee thanks DOC Meet and Confer Chair </w:t>
      </w:r>
      <w:proofErr w:type="spellStart"/>
      <w:r>
        <w:rPr>
          <w:rFonts w:ascii="Georgia" w:eastAsia="Georgia" w:hAnsi="Georgia" w:cs="Georgia"/>
        </w:rPr>
        <w:t>Gahm</w:t>
      </w:r>
      <w:proofErr w:type="spellEnd"/>
      <w:r>
        <w:rPr>
          <w:rFonts w:ascii="Georgia" w:eastAsia="Georgia" w:hAnsi="Georgia" w:cs="Georgia"/>
        </w:rPr>
        <w:t xml:space="preserve"> and the rest of the Committee as well as Business Agents </w:t>
      </w:r>
      <w:proofErr w:type="spellStart"/>
      <w:r>
        <w:rPr>
          <w:rFonts w:ascii="Georgia" w:eastAsia="Georgia" w:hAnsi="Georgia" w:cs="Georgia"/>
        </w:rPr>
        <w:t>Prokopf</w:t>
      </w:r>
      <w:proofErr w:type="spellEnd"/>
      <w:r>
        <w:rPr>
          <w:rFonts w:ascii="Georgia" w:eastAsia="Georgia" w:hAnsi="Georgia" w:cs="Georgia"/>
        </w:rPr>
        <w:t xml:space="preserve"> and J Martin for their hard work and persistence in developing this benefit for our members in the DOC.</w:t>
      </w:r>
    </w:p>
    <w:sectPr w:rsidR="006C5AE2" w:rsidRPr="00707816" w:rsidSect="00E02825">
      <w:headerReference w:type="default" r:id="rId9"/>
      <w:pgSz w:w="12240" w:h="15840"/>
      <w:pgMar w:top="720" w:right="1440" w:bottom="2142"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8FA76" w14:textId="77777777" w:rsidR="000C3380" w:rsidRDefault="000C3380">
      <w:pPr>
        <w:spacing w:after="0" w:line="240" w:lineRule="auto"/>
      </w:pPr>
      <w:r>
        <w:separator/>
      </w:r>
    </w:p>
  </w:endnote>
  <w:endnote w:type="continuationSeparator" w:id="0">
    <w:p w14:paraId="3B5ABF4E" w14:textId="77777777" w:rsidR="000C3380" w:rsidRDefault="000C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C63D" w14:textId="77777777" w:rsidR="000C3380" w:rsidRDefault="000C3380">
      <w:pPr>
        <w:spacing w:after="0" w:line="240" w:lineRule="auto"/>
      </w:pPr>
      <w:r>
        <w:separator/>
      </w:r>
    </w:p>
  </w:footnote>
  <w:footnote w:type="continuationSeparator" w:id="0">
    <w:p w14:paraId="48C3E1A5" w14:textId="77777777" w:rsidR="000C3380" w:rsidRDefault="000C3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C64F" w14:textId="77777777" w:rsidR="00976CB6" w:rsidRDefault="00DF70C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A29CF56" wp14:editId="0103C514">
          <wp:extent cx="1664970" cy="124142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4970" cy="1241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5CC"/>
    <w:multiLevelType w:val="hybridMultilevel"/>
    <w:tmpl w:val="5762D822"/>
    <w:lvl w:ilvl="0" w:tplc="2B7C9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B03E9"/>
    <w:multiLevelType w:val="multilevel"/>
    <w:tmpl w:val="596AB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B1AB4"/>
    <w:multiLevelType w:val="multilevel"/>
    <w:tmpl w:val="37588F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F92C28"/>
    <w:multiLevelType w:val="hybridMultilevel"/>
    <w:tmpl w:val="42A4EF6A"/>
    <w:lvl w:ilvl="0" w:tplc="9612B66E">
      <w:start w:val="230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26212"/>
    <w:multiLevelType w:val="multilevel"/>
    <w:tmpl w:val="4D005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lvl w:ilvl="0">
        <w:numFmt w:val="upperRoman"/>
        <w:lvlText w:val="%1."/>
        <w:lvlJc w:val="right"/>
      </w:lvl>
    </w:lvlOverride>
  </w:num>
  <w:num w:numId="4">
    <w:abstractNumId w:val="4"/>
    <w:lvlOverride w:ilvl="0">
      <w:lvl w:ilvl="0">
        <w:numFmt w:val="upperRoman"/>
        <w:lvlText w:val="%1."/>
        <w:lvlJc w:val="right"/>
      </w:lvl>
    </w:lvlOverride>
    <w:lvlOverride w:ilvl="1">
      <w:lvl w:ilvl="1">
        <w:numFmt w:val="upperLetter"/>
        <w:lvlText w:val="%2."/>
        <w:lvlJc w:val="left"/>
      </w:lvl>
    </w:lvlOverride>
  </w:num>
  <w:num w:numId="5">
    <w:abstractNumId w:val="4"/>
    <w:lvlOverride w:ilvl="0">
      <w:lvl w:ilvl="0">
        <w:numFmt w:val="upperRoman"/>
        <w:lvlText w:val="%1."/>
        <w:lvlJc w:val="right"/>
      </w:lvl>
    </w:lvlOverride>
    <w:lvlOverride w:ilvl="1">
      <w:lvl w:ilvl="1">
        <w:numFmt w:val="upperLetter"/>
        <w:lvlText w:val="%2."/>
        <w:lvlJc w:val="left"/>
      </w:lvl>
    </w:lvlOverride>
  </w:num>
  <w:num w:numId="6">
    <w:abstractNumId w:val="0"/>
  </w:num>
  <w:num w:numId="7">
    <w:abstractNumId w:val="1"/>
    <w:lvlOverride w:ilvl="0">
      <w:lvl w:ilvl="0">
        <w:numFmt w:val="upperRoman"/>
        <w:lvlText w:val="%1."/>
        <w:lvlJc w:val="right"/>
      </w:lvl>
    </w:lvlOverride>
  </w:num>
  <w:num w:numId="8">
    <w:abstractNumId w:val="1"/>
    <w:lvlOverride w:ilvl="0">
      <w:lvl w:ilvl="0">
        <w:numFmt w:val="upperRoman"/>
        <w:lvlText w:val="%1."/>
        <w:lvlJc w:val="right"/>
      </w:lvl>
    </w:lvlOverride>
    <w:lvlOverride w:ilvl="1">
      <w:lvl w:ilvl="1">
        <w:numFmt w:val="upperLetter"/>
        <w:lvlText w:val="%2."/>
        <w:lvlJc w:val="left"/>
      </w:lvl>
    </w:lvlOverride>
  </w:num>
  <w:num w:numId="9">
    <w:abstractNumId w:val="1"/>
    <w:lvlOverride w:ilvl="0">
      <w:lvl w:ilvl="0">
        <w:numFmt w:val="upperRoman"/>
        <w:lvlText w:val="%1."/>
        <w:lvlJc w:val="right"/>
      </w:lvl>
    </w:lvlOverride>
    <w:lvlOverride w:ilvl="1">
      <w:lvl w:ilvl="1">
        <w:numFmt w:val="upperLetter"/>
        <w:lvlText w:val="%2."/>
        <w:lvlJc w:val="left"/>
      </w:lvl>
    </w:lvlOverride>
  </w:num>
  <w:num w:numId="10">
    <w:abstractNumId w:val="1"/>
    <w:lvlOverride w:ilvl="0">
      <w:lvl w:ilvl="0">
        <w:numFmt w:val="upperRoman"/>
        <w:lvlText w:val="%1."/>
        <w:lvlJc w:val="right"/>
      </w:lvl>
    </w:lvlOverride>
    <w:lvlOverride w:ilvl="1">
      <w:lvl w:ilvl="1">
        <w:numFmt w:val="upperLetter"/>
        <w:lvlText w:val="%2."/>
        <w:lvlJc w:val="left"/>
      </w:lvl>
    </w:lvlOverride>
  </w:num>
  <w:num w:numId="11">
    <w:abstractNumId w:val="1"/>
    <w:lvlOverride w:ilvl="0">
      <w:lvl w:ilvl="0">
        <w:numFmt w:val="upperRoman"/>
        <w:lvlText w:val="%1."/>
        <w:lvlJc w:val="right"/>
      </w:lvl>
    </w:lvlOverride>
    <w:lvlOverride w:ilvl="1">
      <w:lvl w:ilvl="1">
        <w:numFmt w:val="upperLetter"/>
        <w:lvlText w:val="%2."/>
        <w:lvlJc w:val="left"/>
      </w:lvl>
    </w:lvlOverride>
  </w:num>
  <w:num w:numId="12">
    <w:abstractNumId w:val="1"/>
    <w:lvlOverride w:ilvl="0">
      <w:lvl w:ilvl="0">
        <w:numFmt w:val="upperRoman"/>
        <w:lvlText w:val="%1."/>
        <w:lvlJc w:val="right"/>
      </w:lvl>
    </w:lvlOverride>
    <w:lvlOverride w:ilvl="1">
      <w:lvl w:ilvl="1">
        <w:numFmt w:val="upperLetter"/>
        <w:lvlText w:val="%2."/>
        <w:lvlJc w:val="left"/>
      </w:lvl>
    </w:lvlOverride>
  </w:num>
  <w:num w:numId="13">
    <w:abstractNumId w:val="1"/>
    <w:lvlOverride w:ilvl="0">
      <w:lvl w:ilvl="0">
        <w:numFmt w:val="upperRoman"/>
        <w:lvlText w:val="%1."/>
        <w:lvlJc w:val="right"/>
      </w:lvl>
    </w:lvlOverride>
    <w:lvlOverride w:ilvl="1">
      <w:lvl w:ilvl="1">
        <w:numFmt w:val="upperLetter"/>
        <w:lvlText w:val="%2."/>
        <w:lvlJc w:val="left"/>
      </w:lvl>
    </w:lvlOverride>
  </w:num>
  <w:num w:numId="14">
    <w:abstractNumId w:val="1"/>
    <w:lvlOverride w:ilvl="0">
      <w:lvl w:ilvl="0">
        <w:numFmt w:val="upperRoman"/>
        <w:lvlText w:val="%1."/>
        <w:lvlJc w:val="right"/>
      </w:lvl>
    </w:lvlOverride>
    <w:lvlOverride w:ilvl="1">
      <w:lvl w:ilvl="1">
        <w:numFmt w:val="upperLetter"/>
        <w:lvlText w:val="%2."/>
        <w:lvlJc w:val="left"/>
      </w:lvl>
    </w:lvlOverride>
  </w:num>
  <w:num w:numId="15">
    <w:abstractNumId w:val="1"/>
    <w:lvlOverride w:ilvl="0">
      <w:lvl w:ilvl="0">
        <w:numFmt w:val="upperRoman"/>
        <w:lvlText w:val="%1."/>
        <w:lvlJc w:val="right"/>
      </w:lvl>
    </w:lvlOverride>
    <w:lvlOverride w:ilvl="1">
      <w:lvl w:ilvl="1">
        <w:numFmt w:val="upperLetter"/>
        <w:lvlText w:val="%2."/>
        <w:lvlJc w:val="left"/>
      </w:lvl>
    </w:lvlOverride>
  </w:num>
  <w:num w:numId="16">
    <w:abstractNumId w:val="1"/>
    <w:lvlOverride w:ilvl="0">
      <w:lvl w:ilvl="0">
        <w:numFmt w:val="upperRoman"/>
        <w:lvlText w:val="%1."/>
        <w:lvlJc w:val="right"/>
      </w:lvl>
    </w:lvlOverride>
    <w:lvlOverride w:ilvl="1">
      <w:lvl w:ilvl="1">
        <w:numFmt w:val="upperLetter"/>
        <w:lvlText w:val="%2."/>
        <w:lvlJc w:val="left"/>
      </w:lvl>
    </w:lvlOverride>
  </w:num>
  <w:num w:numId="17">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8">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19">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0">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1">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2">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3">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 w:numId="24">
    <w:abstractNumId w:val="1"/>
    <w:lvlOverride w:ilvl="0">
      <w:lvl w:ilvl="0">
        <w:numFmt w:val="upperRoman"/>
        <w:lvlText w:val="%1."/>
        <w:lvlJc w:val="right"/>
      </w:lvl>
    </w:lvlOverride>
    <w:lvlOverride w:ilvl="1">
      <w:lvl w:ilvl="1">
        <w:numFmt w:val="upperLetter"/>
        <w:lvlText w:val="%2."/>
        <w:lvlJc w:val="left"/>
      </w:lvl>
    </w:lvlOverride>
    <w:lvlOverride w:ilvl="3">
      <w:lvl w:ilvl="3">
        <w:numFmt w:val="lowerLetter"/>
        <w:lvlText w:val="%4."/>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B6"/>
    <w:rsid w:val="000C3380"/>
    <w:rsid w:val="000D7621"/>
    <w:rsid w:val="002365FF"/>
    <w:rsid w:val="002F497C"/>
    <w:rsid w:val="003110FD"/>
    <w:rsid w:val="00484E5A"/>
    <w:rsid w:val="004C4699"/>
    <w:rsid w:val="006C5AE2"/>
    <w:rsid w:val="006C6E1D"/>
    <w:rsid w:val="00707816"/>
    <w:rsid w:val="00712FF8"/>
    <w:rsid w:val="00806698"/>
    <w:rsid w:val="00976CB6"/>
    <w:rsid w:val="00A65D58"/>
    <w:rsid w:val="00A81E4F"/>
    <w:rsid w:val="00AB0303"/>
    <w:rsid w:val="00AE34BE"/>
    <w:rsid w:val="00B91088"/>
    <w:rsid w:val="00BF445C"/>
    <w:rsid w:val="00D91CA8"/>
    <w:rsid w:val="00DF398B"/>
    <w:rsid w:val="00DF70C5"/>
    <w:rsid w:val="00E02825"/>
    <w:rsid w:val="00E523F0"/>
    <w:rsid w:val="00E76BC4"/>
    <w:rsid w:val="00F9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211F"/>
  <w15:docId w15:val="{53AD6188-B4A3-9649-A351-505508F1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B0303"/>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95363">
      <w:bodyDiv w:val="1"/>
      <w:marLeft w:val="0"/>
      <w:marRight w:val="0"/>
      <w:marTop w:val="0"/>
      <w:marBottom w:val="0"/>
      <w:divBdr>
        <w:top w:val="none" w:sz="0" w:space="0" w:color="auto"/>
        <w:left w:val="none" w:sz="0" w:space="0" w:color="auto"/>
        <w:bottom w:val="none" w:sz="0" w:space="0" w:color="auto"/>
        <w:right w:val="none" w:sz="0" w:space="0" w:color="auto"/>
      </w:divBdr>
    </w:div>
    <w:div w:id="162453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tps://mn.gov/bms/documents/BMS/154279-Arbitration%20Award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2rcvDmkJsET5jr1J3zd35XYuQ==">AMUW2mWBoYlUnZLk/scnyIBftXmbt2Zm7VnB9lxeXmrk9N/P8mHdwUOTrrrlPn9Chr177mkpHZwQmCEypSF4TYG4IF26z8Dn5ksgp5mbP9Q+WJjwUi6AW9xMIS4ODUosYxTjCv1IGLWT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434</Words>
  <Characters>2603</Characters>
  <Application>Microsoft Office Word</Application>
  <DocSecurity>0</DocSecurity>
  <Lines>78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Thu (MDOR)</dc:creator>
  <cp:lastModifiedBy>Dayton, Megan (ADM)</cp:lastModifiedBy>
  <cp:revision>9</cp:revision>
  <dcterms:created xsi:type="dcterms:W3CDTF">2021-11-04T15:28:00Z</dcterms:created>
  <dcterms:modified xsi:type="dcterms:W3CDTF">2021-12-29T19:59:00Z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