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7489" w14:textId="77777777" w:rsidR="00F518D5" w:rsidRDefault="00F03CCD" w:rsidP="00BB46F3">
      <w:pPr>
        <w:widowControl w:val="0"/>
        <w:contextualSpacing/>
        <w:jc w:val="center"/>
        <w:rPr>
          <w:rFonts w:eastAsia="Georgia" w:cs="Georgia"/>
          <w:b/>
          <w:sz w:val="36"/>
          <w:szCs w:val="36"/>
        </w:rPr>
      </w:pPr>
      <w:r>
        <w:rPr>
          <w:rFonts w:eastAsia="Georgia" w:cs="Georgia"/>
          <w:b/>
          <w:noProof/>
          <w:sz w:val="36"/>
          <w:szCs w:val="36"/>
        </w:rPr>
        <w:drawing>
          <wp:inline distT="114300" distB="114300" distL="114300" distR="114300" wp14:anchorId="6F0B3E6D" wp14:editId="7595CFCB">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350" cy="1143000"/>
                    </a:xfrm>
                    <a:prstGeom prst="rect">
                      <a:avLst/>
                    </a:prstGeom>
                    <a:ln/>
                  </pic:spPr>
                </pic:pic>
              </a:graphicData>
            </a:graphic>
          </wp:inline>
        </w:drawing>
      </w:r>
    </w:p>
    <w:p w14:paraId="3A376551" w14:textId="45BC73BF" w:rsidR="00F518D5" w:rsidRDefault="00F03CCD" w:rsidP="00BB46F3">
      <w:pPr>
        <w:widowControl w:val="0"/>
        <w:contextualSpacing/>
        <w:jc w:val="center"/>
        <w:rPr>
          <w:rFonts w:eastAsia="Georgia" w:cs="Georgia"/>
          <w:b/>
          <w:sz w:val="36"/>
          <w:szCs w:val="36"/>
        </w:rPr>
      </w:pPr>
      <w:r>
        <w:rPr>
          <w:rFonts w:eastAsia="Georgia" w:cs="Georgia"/>
          <w:b/>
          <w:sz w:val="36"/>
          <w:szCs w:val="36"/>
        </w:rPr>
        <w:t xml:space="preserve">BOARD OF DIRECTORS </w:t>
      </w:r>
      <w:r w:rsidR="00DF22BB">
        <w:rPr>
          <w:rFonts w:eastAsia="Georgia" w:cs="Georgia"/>
          <w:b/>
          <w:sz w:val="36"/>
          <w:szCs w:val="36"/>
        </w:rPr>
        <w:t>MINUTES</w:t>
      </w:r>
    </w:p>
    <w:p w14:paraId="7A369B15" w14:textId="3F8788D3" w:rsidR="00F518D5" w:rsidRDefault="00B57F45" w:rsidP="00BB46F3">
      <w:pPr>
        <w:pStyle w:val="Heading1"/>
        <w:widowControl w:val="0"/>
        <w:spacing w:before="0" w:after="0"/>
        <w:contextualSpacing/>
        <w:jc w:val="center"/>
        <w:rPr>
          <w:rFonts w:eastAsia="Georgia" w:cs="Georgia"/>
          <w:b/>
        </w:rPr>
      </w:pPr>
      <w:bookmarkStart w:id="0" w:name="_sj9fzzreui2z" w:colFirst="0" w:colLast="0"/>
      <w:bookmarkEnd w:id="0"/>
      <w:r>
        <w:rPr>
          <w:rFonts w:eastAsia="Georgia" w:cs="Georgia"/>
          <w:b/>
        </w:rPr>
        <w:t>18 June</w:t>
      </w:r>
      <w:r w:rsidR="0001264C">
        <w:rPr>
          <w:rFonts w:eastAsia="Georgia" w:cs="Georgia"/>
          <w:b/>
        </w:rPr>
        <w:t xml:space="preserve"> </w:t>
      </w:r>
      <w:r w:rsidR="00F03CCD">
        <w:rPr>
          <w:rFonts w:eastAsia="Georgia" w:cs="Georgia"/>
          <w:b/>
        </w:rPr>
        <w:t>2021</w:t>
      </w:r>
    </w:p>
    <w:p w14:paraId="5F37B829" w14:textId="50CBD96D" w:rsidR="00F518D5" w:rsidRPr="003908E2" w:rsidRDefault="00F03CCD" w:rsidP="003908E2">
      <w:pPr>
        <w:widowControl w:val="0"/>
        <w:pBdr>
          <w:bottom w:val="single" w:sz="12" w:space="1" w:color="auto"/>
        </w:pBdr>
        <w:contextualSpacing/>
        <w:jc w:val="center"/>
        <w:rPr>
          <w:rFonts w:eastAsia="Georgia" w:cs="Georgia"/>
          <w:b/>
          <w:sz w:val="28"/>
          <w:szCs w:val="28"/>
        </w:rPr>
      </w:pPr>
      <w:r>
        <w:rPr>
          <w:rFonts w:eastAsia="Georgia" w:cs="Georgia"/>
          <w:b/>
          <w:sz w:val="28"/>
          <w:szCs w:val="28"/>
        </w:rPr>
        <w:t>8:30am – 4:30pm</w:t>
      </w:r>
    </w:p>
    <w:p w14:paraId="004DB392" w14:textId="77777777" w:rsidR="007D6516" w:rsidRDefault="007D6516" w:rsidP="00BB46F3">
      <w:pPr>
        <w:widowControl w:val="0"/>
        <w:contextualSpacing/>
        <w:rPr>
          <w:rFonts w:eastAsia="Georgia" w:cs="Georgia"/>
          <w:szCs w:val="24"/>
        </w:rPr>
      </w:pPr>
    </w:p>
    <w:p w14:paraId="0666157B" w14:textId="4EED839C" w:rsidR="00EE585B" w:rsidRDefault="007D6516" w:rsidP="00BB46F3">
      <w:pPr>
        <w:widowControl w:val="0"/>
        <w:contextualSpacing/>
        <w:rPr>
          <w:rFonts w:eastAsia="Georgia" w:cs="Georgia"/>
          <w:szCs w:val="24"/>
        </w:rPr>
      </w:pPr>
      <w:r>
        <w:rPr>
          <w:rFonts w:eastAsia="Georgia" w:cs="Georgia"/>
          <w:szCs w:val="24"/>
        </w:rPr>
        <w:t>Meeting c</w:t>
      </w:r>
      <w:r w:rsidR="00EE585B">
        <w:rPr>
          <w:rFonts w:eastAsia="Georgia" w:cs="Georgia"/>
          <w:szCs w:val="24"/>
        </w:rPr>
        <w:t>alled to order at 8:35 am</w:t>
      </w:r>
    </w:p>
    <w:p w14:paraId="54CF93AB" w14:textId="1EDC4BD8" w:rsidR="008C28EC" w:rsidRPr="00CF5049" w:rsidRDefault="00CF5049" w:rsidP="00CF5049">
      <w:pPr>
        <w:pStyle w:val="Heading2"/>
      </w:pPr>
      <w:r>
        <w:t>Roll Call</w:t>
      </w:r>
    </w:p>
    <w:p w14:paraId="33693A9B" w14:textId="7FBE2FA5" w:rsidR="008C28EC" w:rsidRDefault="008C28EC" w:rsidP="00DD3910">
      <w:r>
        <w:t>Present:</w:t>
      </w:r>
    </w:p>
    <w:p w14:paraId="39ABEA48" w14:textId="311B6142" w:rsidR="00F518D5" w:rsidRDefault="008C28EC" w:rsidP="00DD3910">
      <w:r>
        <w:t>Region 1 Darci Wing, Region 2 Lisa Lazaretti</w:t>
      </w:r>
      <w:r w:rsidR="009A0C34">
        <w:t xml:space="preserve"> (alternate)</w:t>
      </w:r>
      <w:r>
        <w:t xml:space="preserve">, Region 3 Mark Snyder, Region 4 Chris Smith, Region 5 Vernitta Moore, Region 6 Jason Broberg, Region 7 </w:t>
      </w:r>
      <w:proofErr w:type="spellStart"/>
      <w:r w:rsidRPr="00EE585B">
        <w:t>Axelina</w:t>
      </w:r>
      <w:proofErr w:type="spellEnd"/>
      <w:r>
        <w:t xml:space="preserve"> Swenson, Region 8 Ken Rodgers, Region 9 Carrie Klumb, Region 10 </w:t>
      </w:r>
      <w:r w:rsidRPr="009A0C34">
        <w:t>Jackie</w:t>
      </w:r>
      <w:r>
        <w:t xml:space="preserve"> Blagsvedt</w:t>
      </w:r>
      <w:r w:rsidR="009A0C34">
        <w:t xml:space="preserve"> (after roll)</w:t>
      </w:r>
      <w:r>
        <w:t xml:space="preserve">, Region 11 Jessica Raptis, Region 12 Philip </w:t>
      </w:r>
      <w:proofErr w:type="spellStart"/>
      <w:r>
        <w:t>Meixner</w:t>
      </w:r>
      <w:proofErr w:type="spellEnd"/>
      <w:r w:rsidR="009A0C34">
        <w:t xml:space="preserve"> (alternate)</w:t>
      </w:r>
      <w:r>
        <w:t>, Region 13 Lois Tucke, Region 14 Ann Adkisson, Region 15 Bryan Kotta, Region 16 Laura Czech</w:t>
      </w:r>
      <w:r w:rsidR="009A0C34">
        <w:t xml:space="preserve"> (alternate)</w:t>
      </w:r>
      <w:r>
        <w:t xml:space="preserve">, Region 17 Mike Terhune, Region 18 Tim Beske, Region 19 Beth Zabel, Region 20 Angela Christle, Region 21 Vanessa Vogel, </w:t>
      </w:r>
      <w:r w:rsidR="00A43BAC">
        <w:t xml:space="preserve">SW President Megan Dayton, </w:t>
      </w:r>
      <w:r>
        <w:t xml:space="preserve">SW VP Angela Halseth, SW Treasurer Todd Maki, SW Secretary Lynn Butcher, Organizing Council Chair Sarah Evans, Political Council Chair Cathleen Cotter </w:t>
      </w:r>
    </w:p>
    <w:p w14:paraId="2CC725C2" w14:textId="51945EFB" w:rsidR="00CF5049" w:rsidRDefault="00CF5049" w:rsidP="00DD3910">
      <w:r>
        <w:t xml:space="preserve">Guests: </w:t>
      </w:r>
      <w:r w:rsidR="00516645">
        <w:t xml:space="preserve">OPEIU – OBA Alex Erickson, </w:t>
      </w:r>
      <w:r>
        <w:t>Thu Phan, Sarah Sinderbrand, Jerry Jeffries, John Fer</w:t>
      </w:r>
      <w:r w:rsidR="00516645">
        <w:t>r</w:t>
      </w:r>
      <w:r>
        <w:t>ara</w:t>
      </w:r>
    </w:p>
    <w:p w14:paraId="60DA0B6A" w14:textId="27F4DDAA" w:rsidR="00CF5049" w:rsidRDefault="00CF5049" w:rsidP="00CF5049">
      <w:pPr>
        <w:widowControl w:val="0"/>
        <w:contextualSpacing/>
        <w:rPr>
          <w:rFonts w:eastAsia="Georgia" w:cs="Georgia"/>
        </w:rPr>
      </w:pPr>
    </w:p>
    <w:p w14:paraId="2B8E7210" w14:textId="57A5452B" w:rsidR="00CF5049" w:rsidRDefault="00CF5049" w:rsidP="007D6516">
      <w:pPr>
        <w:rPr>
          <w:rFonts w:eastAsia="Georgia" w:cs="Georgia"/>
        </w:rPr>
      </w:pPr>
      <w:r>
        <w:t xml:space="preserve">Director Adkisson volunteered to track attendees. </w:t>
      </w:r>
    </w:p>
    <w:p w14:paraId="1A630255" w14:textId="514F9AE2" w:rsidR="009B6404" w:rsidRDefault="009B6404" w:rsidP="00CF5049">
      <w:pPr>
        <w:pStyle w:val="Heading2"/>
      </w:pPr>
      <w:r>
        <w:t>Board orientation</w:t>
      </w:r>
    </w:p>
    <w:p w14:paraId="2A6DF71E" w14:textId="37CD2C1D" w:rsidR="009B6404" w:rsidRPr="003C39AF" w:rsidRDefault="00CF5049" w:rsidP="003C39AF">
      <w:r>
        <w:t xml:space="preserve">New and current </w:t>
      </w:r>
      <w:r w:rsidR="00A43BAC">
        <w:t>B</w:t>
      </w:r>
      <w:r>
        <w:t xml:space="preserve">oard members received </w:t>
      </w:r>
      <w:r w:rsidR="003C39AF">
        <w:t xml:space="preserve">orientation to the </w:t>
      </w:r>
      <w:r w:rsidR="00A43BAC">
        <w:t>Board</w:t>
      </w:r>
      <w:r w:rsidR="003C39AF">
        <w:t>, including fiduciary responsibilities, policy governance model, board roles, workgroups, and finances.</w:t>
      </w:r>
    </w:p>
    <w:p w14:paraId="33F75178" w14:textId="77777777" w:rsidR="0029635E" w:rsidRDefault="00F03CCD" w:rsidP="0029635E">
      <w:pPr>
        <w:pStyle w:val="Heading2"/>
      </w:pPr>
      <w:r w:rsidRPr="00874853">
        <w:t>Member comments</w:t>
      </w:r>
    </w:p>
    <w:p w14:paraId="3361EF2A" w14:textId="02DC89A3" w:rsidR="00BC4C4D" w:rsidRPr="00874853" w:rsidRDefault="00874853" w:rsidP="0029635E">
      <w:pPr>
        <w:pStyle w:val="ListParagraph"/>
        <w:numPr>
          <w:ilvl w:val="0"/>
          <w:numId w:val="4"/>
        </w:numPr>
      </w:pPr>
      <w:r w:rsidRPr="00874853">
        <w:t>No member comments for June</w:t>
      </w:r>
    </w:p>
    <w:p w14:paraId="70D56F05" w14:textId="6303FB47" w:rsidR="00C07EB1" w:rsidRDefault="00C07EB1" w:rsidP="0029635E">
      <w:pPr>
        <w:pStyle w:val="Heading2"/>
      </w:pPr>
      <w:r>
        <w:lastRenderedPageBreak/>
        <w:t>Board member recognition</w:t>
      </w:r>
    </w:p>
    <w:p w14:paraId="335C7A98" w14:textId="55221965" w:rsidR="0029635E" w:rsidRPr="0029635E" w:rsidRDefault="0029635E" w:rsidP="0029635E">
      <w:pPr>
        <w:pStyle w:val="ListParagraph"/>
        <w:numPr>
          <w:ilvl w:val="0"/>
          <w:numId w:val="4"/>
        </w:numPr>
      </w:pPr>
      <w:r>
        <w:t xml:space="preserve">Newly vacating </w:t>
      </w:r>
      <w:r w:rsidR="00A43BAC">
        <w:t>B</w:t>
      </w:r>
      <w:r>
        <w:t xml:space="preserve">oard members were recognized for their contributions. </w:t>
      </w:r>
    </w:p>
    <w:p w14:paraId="66FC2707" w14:textId="5065FD4C" w:rsidR="009B6404" w:rsidRPr="00350910" w:rsidRDefault="009B6404" w:rsidP="0029635E">
      <w:pPr>
        <w:pStyle w:val="Heading2"/>
      </w:pPr>
      <w:r w:rsidRPr="00EA5287">
        <w:t>Approve consent agenda</w:t>
      </w:r>
    </w:p>
    <w:p w14:paraId="71A0D51D" w14:textId="63BCA00A" w:rsidR="00350910" w:rsidRDefault="0029635E" w:rsidP="00DD3910">
      <w:pPr>
        <w:rPr>
          <w:b/>
        </w:rPr>
      </w:pPr>
      <w:r>
        <w:rPr>
          <w:b/>
        </w:rPr>
        <w:t>M</w:t>
      </w:r>
      <w:r>
        <w:t>(Kotta)</w:t>
      </w:r>
      <w:r>
        <w:rPr>
          <w:b/>
        </w:rPr>
        <w:t xml:space="preserve">SP </w:t>
      </w:r>
      <w:r>
        <w:t xml:space="preserve">to approve the consent agenda.  </w:t>
      </w:r>
      <w:r>
        <w:rPr>
          <w:b/>
        </w:rPr>
        <w:t>Consensus</w:t>
      </w:r>
    </w:p>
    <w:p w14:paraId="72722D2D" w14:textId="29BF8DC0" w:rsidR="009B6404" w:rsidRDefault="009B6404" w:rsidP="0029635E">
      <w:pPr>
        <w:pStyle w:val="Heading2"/>
        <w:rPr>
          <w:i/>
        </w:rPr>
      </w:pPr>
      <w:r w:rsidRPr="00EA5287">
        <w:t>Appointments</w:t>
      </w:r>
    </w:p>
    <w:p w14:paraId="2DADDE01" w14:textId="76D820E5" w:rsidR="0029635E" w:rsidRDefault="0029635E" w:rsidP="00DD3910">
      <w:pPr>
        <w:rPr>
          <w:b/>
        </w:rPr>
      </w:pPr>
      <w:r>
        <w:rPr>
          <w:b/>
        </w:rPr>
        <w:t>M</w:t>
      </w:r>
      <w:r>
        <w:t>(Rodgers)</w:t>
      </w:r>
      <w:r>
        <w:rPr>
          <w:b/>
        </w:rPr>
        <w:t xml:space="preserve">SP </w:t>
      </w:r>
      <w:r>
        <w:t xml:space="preserve">to approve the M&amp;C appointments in the board packet. </w:t>
      </w:r>
      <w:r>
        <w:rPr>
          <w:b/>
        </w:rPr>
        <w:t>Consensus.</w:t>
      </w:r>
    </w:p>
    <w:p w14:paraId="4F98C8A6" w14:textId="23B6A77A" w:rsidR="009B6404" w:rsidRDefault="009B6404" w:rsidP="0029635E">
      <w:pPr>
        <w:pStyle w:val="Heading2"/>
      </w:pPr>
      <w:r w:rsidRPr="00EA5287">
        <w:t xml:space="preserve">Governance decisions </w:t>
      </w:r>
    </w:p>
    <w:p w14:paraId="1B872D42" w14:textId="7D12026A" w:rsidR="005E431D" w:rsidRDefault="005E431D" w:rsidP="0029635E">
      <w:pPr>
        <w:pStyle w:val="Heading3"/>
      </w:pPr>
      <w:r>
        <w:t>Coalition Building Workgroup charter</w:t>
      </w:r>
    </w:p>
    <w:p w14:paraId="36F39DAF" w14:textId="18350EC3" w:rsidR="0029635E" w:rsidRPr="00FC058C" w:rsidRDefault="0029635E" w:rsidP="0029635E">
      <w:pPr>
        <w:rPr>
          <w:b/>
        </w:rPr>
      </w:pPr>
      <w:r w:rsidRPr="00CF0F42">
        <w:rPr>
          <w:b/>
        </w:rPr>
        <w:t>M</w:t>
      </w:r>
      <w:r>
        <w:t>(Rodgers)</w:t>
      </w:r>
      <w:r w:rsidR="00CF0F42">
        <w:rPr>
          <w:b/>
        </w:rPr>
        <w:t>S</w:t>
      </w:r>
      <w:r>
        <w:t xml:space="preserve"> that </w:t>
      </w:r>
      <w:r w:rsidR="00CF0F42">
        <w:t xml:space="preserve">authority to allocate dollars be suspended until the Coalition Building </w:t>
      </w:r>
      <w:r w:rsidR="00A43BAC">
        <w:t>W</w:t>
      </w:r>
      <w:r w:rsidR="00CF0F42">
        <w:t xml:space="preserve">orkgroup has developed and shared </w:t>
      </w:r>
      <w:r w:rsidR="00FC058C">
        <w:t xml:space="preserve">with the board </w:t>
      </w:r>
      <w:r w:rsidR="00CF0F42">
        <w:t xml:space="preserve">the criteria they will be using to make decisions. </w:t>
      </w:r>
      <w:r w:rsidR="00FC058C">
        <w:rPr>
          <w:b/>
        </w:rPr>
        <w:t>Consensus</w:t>
      </w:r>
    </w:p>
    <w:p w14:paraId="0DCBFEC7" w14:textId="468404DD" w:rsidR="00CF0F42" w:rsidRDefault="00FC058C" w:rsidP="0029635E">
      <w:pPr>
        <w:rPr>
          <w:i/>
        </w:rPr>
      </w:pPr>
      <w:r>
        <w:rPr>
          <w:i/>
        </w:rPr>
        <w:t xml:space="preserve">Motion maker acknowledged that this motion would not affect decisions the </w:t>
      </w:r>
      <w:r w:rsidR="00A43BAC">
        <w:rPr>
          <w:i/>
        </w:rPr>
        <w:t>W</w:t>
      </w:r>
      <w:r>
        <w:rPr>
          <w:i/>
        </w:rPr>
        <w:t xml:space="preserve">orkgroup has already made and/or monies that have already been allocated. </w:t>
      </w:r>
    </w:p>
    <w:p w14:paraId="0FBB2628" w14:textId="03C8BFF7" w:rsidR="00FC058C" w:rsidRPr="00FC058C" w:rsidRDefault="00FC058C" w:rsidP="0029635E">
      <w:pPr>
        <w:rPr>
          <w:b/>
        </w:rPr>
      </w:pPr>
      <w:r>
        <w:rPr>
          <w:b/>
        </w:rPr>
        <w:t>M</w:t>
      </w:r>
      <w:r>
        <w:t>(Rodgers)</w:t>
      </w:r>
      <w:r>
        <w:rPr>
          <w:b/>
        </w:rPr>
        <w:t xml:space="preserve">SP </w:t>
      </w:r>
      <w:r>
        <w:t xml:space="preserve">to approve the Coalition Building Workgroup charter.  </w:t>
      </w:r>
      <w:r>
        <w:rPr>
          <w:b/>
        </w:rPr>
        <w:t xml:space="preserve">Consensus. </w:t>
      </w:r>
    </w:p>
    <w:p w14:paraId="3A0C0608" w14:textId="47790D05" w:rsidR="009B6404" w:rsidRDefault="009B6404" w:rsidP="0029635E">
      <w:pPr>
        <w:pStyle w:val="Heading3"/>
      </w:pPr>
      <w:r w:rsidRPr="009B6404">
        <w:t>Hiring policy</w:t>
      </w:r>
    </w:p>
    <w:p w14:paraId="09F54BB1" w14:textId="4C1A1C6D" w:rsidR="00FC058C" w:rsidRPr="00FC058C" w:rsidRDefault="00C01776" w:rsidP="00FC058C">
      <w:r w:rsidRPr="00C01776">
        <w:rPr>
          <w:b/>
        </w:rPr>
        <w:t>M</w:t>
      </w:r>
      <w:r>
        <w:t>(Wing)</w:t>
      </w:r>
      <w:r w:rsidRPr="00C01776">
        <w:rPr>
          <w:b/>
        </w:rPr>
        <w:t>SP</w:t>
      </w:r>
      <w:r>
        <w:t xml:space="preserve"> to adopt the hiring policy as written.  </w:t>
      </w:r>
      <w:r w:rsidRPr="00C01776">
        <w:rPr>
          <w:b/>
        </w:rPr>
        <w:t>Consensus</w:t>
      </w:r>
      <w:r>
        <w:t xml:space="preserve">. </w:t>
      </w:r>
    </w:p>
    <w:p w14:paraId="56D9DFD8" w14:textId="5C72E734" w:rsidR="009B6404" w:rsidRDefault="009B6404" w:rsidP="0029635E">
      <w:pPr>
        <w:pStyle w:val="Heading3"/>
      </w:pPr>
      <w:r>
        <w:t>Strategic plan RFP</w:t>
      </w:r>
    </w:p>
    <w:p w14:paraId="73CF6D99" w14:textId="794A049E" w:rsidR="00CC3A68" w:rsidRPr="00C01776" w:rsidRDefault="003C39AF" w:rsidP="003C39AF">
      <w:r w:rsidRPr="003C39AF">
        <w:rPr>
          <w:b/>
        </w:rPr>
        <w:t>M</w:t>
      </w:r>
      <w:r>
        <w:t>(Wing)</w:t>
      </w:r>
      <w:r w:rsidRPr="003C39AF">
        <w:rPr>
          <w:b/>
        </w:rPr>
        <w:t>SP</w:t>
      </w:r>
      <w:r>
        <w:t xml:space="preserve"> to adopt the RFP as written with the following additions: accessibility requirements for both the proposals and final product using State of Minnesota accessibility guidelines (WCAG 2.0 and Section 508); and specific permission for the consultant to suggest and survey members on topics they feel would be helpful based on conversations with MAPE (Phase 1). </w:t>
      </w:r>
      <w:r w:rsidRPr="003C39AF">
        <w:rPr>
          <w:b/>
        </w:rPr>
        <w:t>Consensus</w:t>
      </w:r>
    </w:p>
    <w:p w14:paraId="0467F0F3" w14:textId="1C3AF1F6" w:rsidR="00C07EB1" w:rsidRDefault="00C07EB1" w:rsidP="0029635E">
      <w:pPr>
        <w:pStyle w:val="Heading3"/>
      </w:pPr>
      <w:r>
        <w:t>State of the Union</w:t>
      </w:r>
    </w:p>
    <w:p w14:paraId="1C612DA8" w14:textId="51BB6AB3" w:rsidR="00C07EB1" w:rsidRDefault="00C07EB1" w:rsidP="0029635E">
      <w:pPr>
        <w:pStyle w:val="ListParagraph"/>
        <w:numPr>
          <w:ilvl w:val="0"/>
          <w:numId w:val="3"/>
        </w:numPr>
      </w:pPr>
      <w:r>
        <w:t>Tactical goals</w:t>
      </w:r>
      <w:r w:rsidR="00213CC0">
        <w:t xml:space="preserve"> document reviewed; will be sent to the </w:t>
      </w:r>
      <w:r w:rsidR="00A43BAC">
        <w:t>B</w:t>
      </w:r>
      <w:r w:rsidR="00213CC0">
        <w:t xml:space="preserve">oard. </w:t>
      </w:r>
    </w:p>
    <w:p w14:paraId="1BC523E3" w14:textId="77777777" w:rsidR="00213CC0" w:rsidRDefault="00213CC0" w:rsidP="00213CC0">
      <w:pPr>
        <w:pStyle w:val="Heading3"/>
      </w:pPr>
      <w:r>
        <w:t>ERC request</w:t>
      </w:r>
    </w:p>
    <w:p w14:paraId="74FE8711" w14:textId="54C91209" w:rsidR="00213CC0" w:rsidRDefault="00213CC0" w:rsidP="00213CC0">
      <w:r w:rsidRPr="00516645">
        <w:rPr>
          <w:b/>
        </w:rPr>
        <w:t>M</w:t>
      </w:r>
      <w:r>
        <w:t>(Maki)</w:t>
      </w:r>
      <w:r w:rsidRPr="00516645">
        <w:rPr>
          <w:b/>
        </w:rPr>
        <w:t>SP</w:t>
      </w:r>
      <w:r>
        <w:t xml:space="preserve"> to move $15K from the training budget to the ERC budget to cover lost time and registration to send the Statewide VP and 21 Chief Stewards to the Labor Arbitration Institute Conference 2021. </w:t>
      </w:r>
      <w:r w:rsidRPr="00516645">
        <w:rPr>
          <w:b/>
        </w:rPr>
        <w:t>Consensus</w:t>
      </w:r>
    </w:p>
    <w:p w14:paraId="40C5BB63" w14:textId="64EA4DFD" w:rsidR="00A164D2" w:rsidRDefault="00A164D2" w:rsidP="00213CC0"/>
    <w:p w14:paraId="780098A1" w14:textId="77777777" w:rsidR="00A164D2" w:rsidRDefault="00A164D2" w:rsidP="00A164D2">
      <w:pPr>
        <w:pStyle w:val="Heading3"/>
      </w:pPr>
      <w:r>
        <w:t>DA resolution 3</w:t>
      </w:r>
    </w:p>
    <w:p w14:paraId="2091FDDF" w14:textId="74869E0C" w:rsidR="00213CC0" w:rsidRDefault="00A164D2" w:rsidP="00A164D2">
      <w:r w:rsidRPr="00516645">
        <w:rPr>
          <w:b/>
        </w:rPr>
        <w:t>M</w:t>
      </w:r>
      <w:r>
        <w:t>(Rodgers)</w:t>
      </w:r>
      <w:r w:rsidRPr="00516645">
        <w:rPr>
          <w:b/>
        </w:rPr>
        <w:t>SP</w:t>
      </w:r>
      <w:r>
        <w:t xml:space="preserve"> to move the resolution forward from the Board of Directors to Delegate Assembly 2021. </w:t>
      </w:r>
      <w:r w:rsidRPr="00516645">
        <w:rPr>
          <w:b/>
        </w:rPr>
        <w:t>Consensus</w:t>
      </w:r>
      <w:r>
        <w:t xml:space="preserve">. </w:t>
      </w:r>
    </w:p>
    <w:p w14:paraId="5DB76615" w14:textId="5778F7ED" w:rsidR="009B6404" w:rsidRDefault="009B6404" w:rsidP="0029635E">
      <w:pPr>
        <w:pStyle w:val="Heading3"/>
      </w:pPr>
      <w:r>
        <w:t>Political Council</w:t>
      </w:r>
    </w:p>
    <w:p w14:paraId="56CC3496" w14:textId="1DF93BC2" w:rsidR="007D6516" w:rsidRPr="007D6516" w:rsidRDefault="007D6516" w:rsidP="007D6516">
      <w:r>
        <w:t xml:space="preserve">Overview of the work of the Political Council and the legislative priorities; overview of upcoming council plans. Reminder of </w:t>
      </w:r>
      <w:hyperlink r:id="rId8" w:history="1">
        <w:r w:rsidRPr="007D6516">
          <w:rPr>
            <w:rStyle w:val="Hyperlink"/>
          </w:rPr>
          <w:t>legislative priorities</w:t>
        </w:r>
      </w:hyperlink>
      <w:r>
        <w:t xml:space="preserve"> approved by the BOD in January. </w:t>
      </w:r>
    </w:p>
    <w:p w14:paraId="7FD201DE" w14:textId="1E95DE42" w:rsidR="009B6404" w:rsidRDefault="009B6404" w:rsidP="0029635E">
      <w:pPr>
        <w:pStyle w:val="Heading3"/>
      </w:pPr>
      <w:r>
        <w:t>Organizing Council</w:t>
      </w:r>
    </w:p>
    <w:p w14:paraId="767C5773" w14:textId="7B394450" w:rsidR="007D6516" w:rsidRPr="007D6516" w:rsidRDefault="007D6516" w:rsidP="007D6516">
      <w:r>
        <w:t xml:space="preserve">Overview of the ongoing and planned work of the Organizing Council as outlined in the Organizing Council report in the board packet. Reminder of the MAPE Scholarships and June 30, 2021 deadline for applying. </w:t>
      </w:r>
    </w:p>
    <w:p w14:paraId="27E9B62D" w14:textId="1C11BB56" w:rsidR="009B6404" w:rsidRDefault="009B6404" w:rsidP="0029635E">
      <w:pPr>
        <w:pStyle w:val="Heading3"/>
      </w:pPr>
      <w:r>
        <w:t>Member comments discussion</w:t>
      </w:r>
    </w:p>
    <w:p w14:paraId="6F4C84D1" w14:textId="11F6D55B" w:rsidR="00AA1B24" w:rsidRPr="00AA1B24" w:rsidRDefault="00AA1B24" w:rsidP="00AA1B24">
      <w:r>
        <w:t xml:space="preserve">The Board is encouraged to forward their ideas to President Dayton for future discussion. </w:t>
      </w:r>
    </w:p>
    <w:p w14:paraId="69680C1B" w14:textId="77777777" w:rsidR="007D6516" w:rsidRDefault="007D6516" w:rsidP="00AA1B24"/>
    <w:p w14:paraId="1D70B559" w14:textId="5EFEA0B4" w:rsidR="00AA1B24" w:rsidRPr="00AA1B24" w:rsidRDefault="00AA1B24" w:rsidP="00AA1B24">
      <w:r w:rsidRPr="007D6516">
        <w:rPr>
          <w:b/>
        </w:rPr>
        <w:t>M</w:t>
      </w:r>
      <w:r>
        <w:t>(Wing)</w:t>
      </w:r>
      <w:r w:rsidRPr="007D6516">
        <w:rPr>
          <w:b/>
        </w:rPr>
        <w:t>SP</w:t>
      </w:r>
      <w:r>
        <w:t xml:space="preserve"> to adjourn at 4:26 pm </w:t>
      </w:r>
      <w:r w:rsidRPr="007D6516">
        <w:rPr>
          <w:b/>
        </w:rPr>
        <w:t>Consensus</w:t>
      </w:r>
    </w:p>
    <w:p w14:paraId="1C855D5B" w14:textId="77482DB7" w:rsidR="00F518D5" w:rsidRDefault="00F518D5" w:rsidP="00BB46F3">
      <w:pPr>
        <w:widowControl w:val="0"/>
        <w:pBdr>
          <w:bottom w:val="single" w:sz="12" w:space="1" w:color="auto"/>
        </w:pBdr>
        <w:contextualSpacing/>
        <w:rPr>
          <w:rFonts w:eastAsia="Georgia" w:cs="Georgia"/>
          <w:szCs w:val="24"/>
        </w:rPr>
      </w:pPr>
    </w:p>
    <w:p w14:paraId="0865F63A" w14:textId="77777777" w:rsidR="00516645" w:rsidRDefault="00516645" w:rsidP="00BB46F3">
      <w:pPr>
        <w:widowControl w:val="0"/>
        <w:contextualSpacing/>
        <w:rPr>
          <w:rFonts w:eastAsia="Georgia" w:cs="Georgia"/>
          <w:szCs w:val="24"/>
        </w:rPr>
      </w:pPr>
      <w:bookmarkStart w:id="1" w:name="_GoBack"/>
      <w:bookmarkEnd w:id="1"/>
    </w:p>
    <w:p w14:paraId="502B82C8" w14:textId="77777777" w:rsidR="00F518D5" w:rsidRDefault="00F03CCD" w:rsidP="00BB46F3">
      <w:pPr>
        <w:widowControl w:val="0"/>
        <w:contextualSpacing/>
        <w:rPr>
          <w:rFonts w:eastAsia="Georgia" w:cs="Georgia"/>
          <w:b/>
          <w:szCs w:val="24"/>
        </w:rPr>
      </w:pPr>
      <w:r>
        <w:rPr>
          <w:rFonts w:eastAsia="Georgia" w:cs="Georgia"/>
          <w:b/>
          <w:szCs w:val="24"/>
        </w:rPr>
        <w:t>Standing Rules:</w:t>
      </w:r>
    </w:p>
    <w:p w14:paraId="3045223A" w14:textId="77777777" w:rsidR="00F518D5" w:rsidRDefault="00F03CCD" w:rsidP="00BB46F3">
      <w:pPr>
        <w:widowControl w:val="0"/>
        <w:contextualSpacing/>
        <w:rPr>
          <w:rFonts w:eastAsia="Georgia" w:cs="Georgia"/>
        </w:rPr>
      </w:pPr>
      <w:r>
        <w:rPr>
          <w:rFonts w:eastAsia="Georgia" w:cs="Georgia"/>
        </w:rPr>
        <w:t xml:space="preserve">Time Certain Adjournment: No later than 4:30 PM. </w:t>
      </w:r>
    </w:p>
    <w:p w14:paraId="673ED04D" w14:textId="77777777" w:rsidR="00F518D5" w:rsidRDefault="00F03CCD" w:rsidP="00BB46F3">
      <w:pPr>
        <w:widowControl w:val="0"/>
        <w:contextualSpacing/>
        <w:rPr>
          <w:rFonts w:eastAsia="Georgia" w:cs="Georgia"/>
        </w:rPr>
      </w:pPr>
      <w:r>
        <w:rPr>
          <w:rFonts w:eastAsia="Georgia" w:cs="Georgia"/>
        </w:rPr>
        <w:t>Extensions in ½ hour increments, require a 2/3 vote to extend.</w:t>
      </w:r>
    </w:p>
    <w:p w14:paraId="6FCA13E1" w14:textId="77777777" w:rsidR="00F518D5" w:rsidRDefault="00F03CCD" w:rsidP="00BB46F3">
      <w:pPr>
        <w:widowControl w:val="0"/>
        <w:contextualSpacing/>
        <w:rPr>
          <w:rFonts w:eastAsia="Georgia" w:cs="Georgia"/>
        </w:rPr>
      </w:pPr>
      <w:r>
        <w:rPr>
          <w:rFonts w:eastAsia="Georgia" w:cs="Georgia"/>
        </w:rPr>
        <w:t>Debate is limited to 3 speakers for and 3 speakers against the motion on the floor.</w:t>
      </w:r>
    </w:p>
    <w:p w14:paraId="36698CE2" w14:textId="77777777" w:rsidR="00F518D5" w:rsidRDefault="00F03CCD" w:rsidP="00BB46F3">
      <w:pPr>
        <w:widowControl w:val="0"/>
        <w:contextualSpacing/>
        <w:rPr>
          <w:rFonts w:eastAsia="Georgia" w:cs="Georgia"/>
        </w:rPr>
      </w:pPr>
      <w:r>
        <w:rPr>
          <w:rFonts w:eastAsia="Georgia" w:cs="Georgia"/>
        </w:rPr>
        <w:t>To amend or rescind 2/3 vote is required. Majority required for suspension.</w:t>
      </w:r>
    </w:p>
    <w:p w14:paraId="03A55531" w14:textId="7483A425" w:rsidR="00F518D5" w:rsidRDefault="00F03CCD" w:rsidP="00BB46F3">
      <w:pPr>
        <w:widowControl w:val="0"/>
        <w:contextualSpacing/>
        <w:rPr>
          <w:rFonts w:eastAsia="Georgia" w:cs="Georgia"/>
          <w:szCs w:val="24"/>
        </w:rPr>
      </w:pPr>
      <w:r>
        <w:rPr>
          <w:rFonts w:eastAsia="Georgia" w:cs="Georgia"/>
          <w:szCs w:val="24"/>
        </w:rPr>
        <w:t xml:space="preserve"> </w:t>
      </w:r>
    </w:p>
    <w:p w14:paraId="793D08B6" w14:textId="38E29E88" w:rsidR="00B34305" w:rsidRPr="00B34305" w:rsidRDefault="00B34305" w:rsidP="00BB46F3">
      <w:pPr>
        <w:widowControl w:val="0"/>
        <w:contextualSpacing/>
        <w:rPr>
          <w:rFonts w:eastAsia="Georgia" w:cs="Georgia"/>
          <w:b/>
          <w:szCs w:val="24"/>
        </w:rPr>
      </w:pPr>
      <w:r>
        <w:rPr>
          <w:rFonts w:eastAsia="Georgia" w:cs="Georgia"/>
          <w:b/>
          <w:szCs w:val="24"/>
        </w:rPr>
        <w:t>Consent Agenda:</w:t>
      </w:r>
    </w:p>
    <w:p w14:paraId="06EC456B" w14:textId="07688BC5" w:rsidR="0001264C" w:rsidRDefault="00F03CCD" w:rsidP="00EA5287">
      <w:pPr>
        <w:widowControl w:val="0"/>
        <w:numPr>
          <w:ilvl w:val="0"/>
          <w:numId w:val="1"/>
        </w:numPr>
        <w:contextualSpacing/>
        <w:rPr>
          <w:rFonts w:eastAsia="Georgia" w:cs="Georgia"/>
          <w:szCs w:val="24"/>
        </w:rPr>
      </w:pPr>
      <w:r>
        <w:rPr>
          <w:rFonts w:eastAsia="Georgia" w:cs="Georgia"/>
          <w:szCs w:val="24"/>
        </w:rPr>
        <w:t>Minutes</w:t>
      </w:r>
    </w:p>
    <w:p w14:paraId="50C6AAEE" w14:textId="24302AF4" w:rsidR="00C07EB1" w:rsidRDefault="00C07EB1" w:rsidP="00C07EB1">
      <w:pPr>
        <w:widowControl w:val="0"/>
        <w:numPr>
          <w:ilvl w:val="1"/>
          <w:numId w:val="1"/>
        </w:numPr>
        <w:contextualSpacing/>
        <w:rPr>
          <w:rFonts w:eastAsia="Georgia" w:cs="Georgia"/>
          <w:szCs w:val="24"/>
        </w:rPr>
      </w:pPr>
      <w:r>
        <w:rPr>
          <w:rFonts w:eastAsia="Georgia" w:cs="Georgia"/>
          <w:szCs w:val="24"/>
        </w:rPr>
        <w:t>MAPE Board of Directors 2021-05-21</w:t>
      </w:r>
    </w:p>
    <w:p w14:paraId="66ECA4E9" w14:textId="25E978C7" w:rsidR="00C07EB1" w:rsidRDefault="00C07EB1" w:rsidP="00C07EB1">
      <w:pPr>
        <w:widowControl w:val="0"/>
        <w:numPr>
          <w:ilvl w:val="1"/>
          <w:numId w:val="1"/>
        </w:numPr>
        <w:contextualSpacing/>
        <w:rPr>
          <w:rFonts w:eastAsia="Georgia" w:cs="Georgia"/>
          <w:szCs w:val="24"/>
        </w:rPr>
      </w:pPr>
      <w:r>
        <w:rPr>
          <w:rFonts w:eastAsia="Georgia" w:cs="Georgia"/>
          <w:szCs w:val="24"/>
        </w:rPr>
        <w:t>MAPE Executive Committee 2021-05-27</w:t>
      </w:r>
    </w:p>
    <w:p w14:paraId="08CB293D" w14:textId="5541B376" w:rsidR="00C07EB1" w:rsidRDefault="00C07EB1" w:rsidP="00C07EB1">
      <w:pPr>
        <w:widowControl w:val="0"/>
        <w:numPr>
          <w:ilvl w:val="1"/>
          <w:numId w:val="1"/>
        </w:numPr>
        <w:contextualSpacing/>
        <w:rPr>
          <w:rFonts w:eastAsia="Georgia" w:cs="Georgia"/>
          <w:szCs w:val="24"/>
        </w:rPr>
      </w:pPr>
      <w:r>
        <w:rPr>
          <w:rFonts w:eastAsia="Georgia" w:cs="Georgia"/>
          <w:szCs w:val="24"/>
        </w:rPr>
        <w:t>MAPE Executive Committee 2021-06-04</w:t>
      </w:r>
    </w:p>
    <w:p w14:paraId="548E940D" w14:textId="3642919C" w:rsidR="00C07EB1" w:rsidRPr="00EA5287" w:rsidRDefault="00C07EB1" w:rsidP="00C07EB1">
      <w:pPr>
        <w:widowControl w:val="0"/>
        <w:numPr>
          <w:ilvl w:val="1"/>
          <w:numId w:val="1"/>
        </w:numPr>
        <w:contextualSpacing/>
        <w:rPr>
          <w:rFonts w:eastAsia="Georgia" w:cs="Georgia"/>
          <w:szCs w:val="24"/>
        </w:rPr>
      </w:pPr>
      <w:r>
        <w:rPr>
          <w:rFonts w:eastAsia="Georgia" w:cs="Georgia"/>
          <w:szCs w:val="24"/>
        </w:rPr>
        <w:t>MAPE Executive Committee 2021-06-11</w:t>
      </w:r>
    </w:p>
    <w:p w14:paraId="6487D964" w14:textId="4AABAD0A" w:rsidR="00203502" w:rsidRDefault="00203502" w:rsidP="00203502">
      <w:pPr>
        <w:widowControl w:val="0"/>
        <w:numPr>
          <w:ilvl w:val="0"/>
          <w:numId w:val="1"/>
        </w:numPr>
        <w:contextualSpacing/>
        <w:rPr>
          <w:rFonts w:eastAsia="Georgia" w:cs="Georgia"/>
          <w:szCs w:val="24"/>
        </w:rPr>
      </w:pPr>
      <w:r>
        <w:rPr>
          <w:rFonts w:eastAsia="Georgia" w:cs="Georgia"/>
          <w:szCs w:val="24"/>
        </w:rPr>
        <w:t>Reports</w:t>
      </w:r>
    </w:p>
    <w:p w14:paraId="371A3F10" w14:textId="04D54280" w:rsidR="00203502" w:rsidRDefault="00203502" w:rsidP="00203502">
      <w:pPr>
        <w:widowControl w:val="0"/>
        <w:numPr>
          <w:ilvl w:val="1"/>
          <w:numId w:val="1"/>
        </w:numPr>
        <w:contextualSpacing/>
        <w:rPr>
          <w:rFonts w:eastAsia="Georgia" w:cs="Georgia"/>
          <w:szCs w:val="24"/>
        </w:rPr>
      </w:pPr>
      <w:r>
        <w:rPr>
          <w:rFonts w:eastAsia="Georgia" w:cs="Georgia"/>
          <w:szCs w:val="24"/>
        </w:rPr>
        <w:t>President</w:t>
      </w:r>
    </w:p>
    <w:p w14:paraId="0464E725" w14:textId="29DAE1DA" w:rsidR="00203502" w:rsidRDefault="00203502" w:rsidP="00203502">
      <w:pPr>
        <w:widowControl w:val="0"/>
        <w:numPr>
          <w:ilvl w:val="1"/>
          <w:numId w:val="1"/>
        </w:numPr>
        <w:contextualSpacing/>
        <w:rPr>
          <w:rFonts w:eastAsia="Georgia" w:cs="Georgia"/>
          <w:szCs w:val="24"/>
        </w:rPr>
      </w:pPr>
      <w:r>
        <w:rPr>
          <w:rFonts w:eastAsia="Georgia" w:cs="Georgia"/>
          <w:szCs w:val="24"/>
        </w:rPr>
        <w:t>Vice President</w:t>
      </w:r>
    </w:p>
    <w:p w14:paraId="4D172244" w14:textId="55EE1FEE" w:rsidR="00203502" w:rsidRDefault="00203502" w:rsidP="00203502">
      <w:pPr>
        <w:widowControl w:val="0"/>
        <w:numPr>
          <w:ilvl w:val="1"/>
          <w:numId w:val="1"/>
        </w:numPr>
        <w:contextualSpacing/>
        <w:rPr>
          <w:rFonts w:eastAsia="Georgia" w:cs="Georgia"/>
          <w:szCs w:val="24"/>
        </w:rPr>
      </w:pPr>
      <w:r>
        <w:rPr>
          <w:rFonts w:eastAsia="Georgia" w:cs="Georgia"/>
          <w:szCs w:val="24"/>
        </w:rPr>
        <w:t>Treasurer</w:t>
      </w:r>
    </w:p>
    <w:p w14:paraId="092D3506" w14:textId="599CF988" w:rsidR="00203502" w:rsidRDefault="00203502" w:rsidP="00203502">
      <w:pPr>
        <w:widowControl w:val="0"/>
        <w:numPr>
          <w:ilvl w:val="1"/>
          <w:numId w:val="1"/>
        </w:numPr>
        <w:contextualSpacing/>
        <w:rPr>
          <w:rFonts w:eastAsia="Georgia" w:cs="Georgia"/>
          <w:szCs w:val="24"/>
        </w:rPr>
      </w:pPr>
      <w:r>
        <w:rPr>
          <w:rFonts w:eastAsia="Georgia" w:cs="Georgia"/>
          <w:szCs w:val="24"/>
        </w:rPr>
        <w:lastRenderedPageBreak/>
        <w:t>Secretary</w:t>
      </w:r>
    </w:p>
    <w:p w14:paraId="761DB38A" w14:textId="446A45C7" w:rsidR="00203502" w:rsidRDefault="00203502" w:rsidP="00203502">
      <w:pPr>
        <w:widowControl w:val="0"/>
        <w:numPr>
          <w:ilvl w:val="1"/>
          <w:numId w:val="1"/>
        </w:numPr>
        <w:contextualSpacing/>
        <w:rPr>
          <w:rFonts w:eastAsia="Georgia" w:cs="Georgia"/>
          <w:szCs w:val="24"/>
        </w:rPr>
      </w:pPr>
      <w:r>
        <w:rPr>
          <w:rFonts w:eastAsia="Georgia" w:cs="Georgia"/>
          <w:szCs w:val="24"/>
        </w:rPr>
        <w:t>Organizing Council</w:t>
      </w:r>
    </w:p>
    <w:p w14:paraId="6122E9E7" w14:textId="32D140EC" w:rsidR="00203502" w:rsidRDefault="00203502" w:rsidP="00203502">
      <w:pPr>
        <w:widowControl w:val="0"/>
        <w:numPr>
          <w:ilvl w:val="1"/>
          <w:numId w:val="1"/>
        </w:numPr>
        <w:contextualSpacing/>
        <w:rPr>
          <w:rFonts w:eastAsia="Georgia" w:cs="Georgia"/>
          <w:szCs w:val="24"/>
        </w:rPr>
      </w:pPr>
      <w:r>
        <w:rPr>
          <w:rFonts w:eastAsia="Georgia" w:cs="Georgia"/>
          <w:szCs w:val="24"/>
        </w:rPr>
        <w:t>Political Council</w:t>
      </w:r>
      <w:r w:rsidR="00C07EB1">
        <w:rPr>
          <w:rFonts w:eastAsia="Georgia" w:cs="Georgia"/>
          <w:szCs w:val="24"/>
        </w:rPr>
        <w:t xml:space="preserve"> – </w:t>
      </w:r>
      <w:r w:rsidR="00C07EB1">
        <w:rPr>
          <w:rFonts w:eastAsia="Georgia" w:cs="Georgia"/>
          <w:i/>
          <w:szCs w:val="24"/>
        </w:rPr>
        <w:t>no report</w:t>
      </w:r>
    </w:p>
    <w:p w14:paraId="5F113FCF" w14:textId="20B46DFC" w:rsidR="00203502" w:rsidRDefault="00203502" w:rsidP="00203502">
      <w:pPr>
        <w:widowControl w:val="0"/>
        <w:numPr>
          <w:ilvl w:val="1"/>
          <w:numId w:val="1"/>
        </w:numPr>
        <w:contextualSpacing/>
        <w:rPr>
          <w:rFonts w:eastAsia="Georgia" w:cs="Georgia"/>
          <w:szCs w:val="24"/>
        </w:rPr>
      </w:pPr>
      <w:r>
        <w:rPr>
          <w:rFonts w:eastAsia="Georgia" w:cs="Georgia"/>
          <w:szCs w:val="24"/>
        </w:rPr>
        <w:t>Meet and Confer</w:t>
      </w:r>
      <w:r w:rsidR="00C07EB1">
        <w:rPr>
          <w:rFonts w:eastAsia="Georgia" w:cs="Georgia"/>
          <w:szCs w:val="24"/>
        </w:rPr>
        <w:t xml:space="preserve"> – </w:t>
      </w:r>
      <w:r w:rsidR="00C07EB1">
        <w:rPr>
          <w:rFonts w:eastAsia="Georgia" w:cs="Georgia"/>
          <w:i/>
          <w:szCs w:val="24"/>
        </w:rPr>
        <w:t>no report</w:t>
      </w:r>
    </w:p>
    <w:p w14:paraId="25113360" w14:textId="248DEAC1" w:rsidR="00203502" w:rsidRDefault="00203502" w:rsidP="00203502">
      <w:pPr>
        <w:widowControl w:val="0"/>
        <w:numPr>
          <w:ilvl w:val="1"/>
          <w:numId w:val="1"/>
        </w:numPr>
        <w:contextualSpacing/>
        <w:rPr>
          <w:rFonts w:eastAsia="Georgia" w:cs="Georgia"/>
          <w:szCs w:val="24"/>
        </w:rPr>
      </w:pPr>
      <w:r>
        <w:rPr>
          <w:rFonts w:eastAsia="Georgia" w:cs="Georgia"/>
          <w:szCs w:val="24"/>
        </w:rPr>
        <w:t>PAC</w:t>
      </w:r>
    </w:p>
    <w:p w14:paraId="0FA08EBB" w14:textId="3246044A" w:rsidR="00203502" w:rsidRDefault="00203502" w:rsidP="00203502">
      <w:pPr>
        <w:widowControl w:val="0"/>
        <w:numPr>
          <w:ilvl w:val="1"/>
          <w:numId w:val="1"/>
        </w:numPr>
        <w:contextualSpacing/>
        <w:rPr>
          <w:rFonts w:eastAsia="Georgia" w:cs="Georgia"/>
          <w:szCs w:val="24"/>
        </w:rPr>
      </w:pPr>
      <w:r>
        <w:rPr>
          <w:rFonts w:eastAsia="Georgia" w:cs="Georgia"/>
          <w:szCs w:val="24"/>
        </w:rPr>
        <w:t>Regions</w:t>
      </w:r>
      <w:r w:rsidR="00C07EB1">
        <w:rPr>
          <w:rFonts w:eastAsia="Georgia" w:cs="Georgia"/>
          <w:szCs w:val="24"/>
        </w:rPr>
        <w:t xml:space="preserve"> – </w:t>
      </w:r>
      <w:r w:rsidR="00C07EB1">
        <w:rPr>
          <w:rFonts w:eastAsia="Georgia" w:cs="Georgia"/>
          <w:i/>
          <w:szCs w:val="24"/>
        </w:rPr>
        <w:t>no report</w:t>
      </w:r>
    </w:p>
    <w:p w14:paraId="03E6598A" w14:textId="51670774" w:rsidR="00203502" w:rsidRDefault="00203502" w:rsidP="00203502">
      <w:pPr>
        <w:widowControl w:val="0"/>
        <w:numPr>
          <w:ilvl w:val="1"/>
          <w:numId w:val="1"/>
        </w:numPr>
        <w:contextualSpacing/>
        <w:rPr>
          <w:rFonts w:eastAsia="Georgia" w:cs="Georgia"/>
          <w:szCs w:val="24"/>
        </w:rPr>
      </w:pPr>
      <w:r>
        <w:rPr>
          <w:rFonts w:eastAsia="Georgia" w:cs="Georgia"/>
          <w:szCs w:val="24"/>
        </w:rPr>
        <w:t>Committees</w:t>
      </w:r>
    </w:p>
    <w:p w14:paraId="267827AF" w14:textId="431F4F84" w:rsidR="00203502" w:rsidRDefault="00203502" w:rsidP="00203502">
      <w:pPr>
        <w:widowControl w:val="0"/>
        <w:numPr>
          <w:ilvl w:val="2"/>
          <w:numId w:val="1"/>
        </w:numPr>
        <w:contextualSpacing/>
        <w:rPr>
          <w:rFonts w:eastAsia="Georgia" w:cs="Georgia"/>
          <w:szCs w:val="24"/>
        </w:rPr>
      </w:pPr>
      <w:r>
        <w:rPr>
          <w:rFonts w:eastAsia="Georgia" w:cs="Georgia"/>
          <w:szCs w:val="24"/>
        </w:rPr>
        <w:t>Building Corp.</w:t>
      </w:r>
      <w:r w:rsidR="00C07EB1">
        <w:rPr>
          <w:rFonts w:eastAsia="Georgia" w:cs="Georgia"/>
          <w:szCs w:val="24"/>
        </w:rPr>
        <w:t xml:space="preserve"> – </w:t>
      </w:r>
      <w:r w:rsidR="00C07EB1">
        <w:rPr>
          <w:rFonts w:eastAsia="Georgia" w:cs="Georgia"/>
          <w:i/>
          <w:szCs w:val="24"/>
        </w:rPr>
        <w:t>no report</w:t>
      </w:r>
    </w:p>
    <w:p w14:paraId="1A5645BC" w14:textId="12108860" w:rsidR="00203502" w:rsidRDefault="00203502" w:rsidP="00203502">
      <w:pPr>
        <w:widowControl w:val="0"/>
        <w:numPr>
          <w:ilvl w:val="2"/>
          <w:numId w:val="1"/>
        </w:numPr>
        <w:contextualSpacing/>
        <w:rPr>
          <w:rFonts w:eastAsia="Georgia" w:cs="Georgia"/>
          <w:szCs w:val="24"/>
        </w:rPr>
      </w:pPr>
      <w:r>
        <w:rPr>
          <w:rFonts w:eastAsia="Georgia" w:cs="Georgia"/>
          <w:szCs w:val="24"/>
        </w:rPr>
        <w:t>Coalition Building Workgroup</w:t>
      </w:r>
    </w:p>
    <w:p w14:paraId="29540B13" w14:textId="1F4C7BE2" w:rsidR="00203502" w:rsidRDefault="00203502" w:rsidP="00203502">
      <w:pPr>
        <w:widowControl w:val="0"/>
        <w:numPr>
          <w:ilvl w:val="2"/>
          <w:numId w:val="1"/>
        </w:numPr>
        <w:contextualSpacing/>
        <w:rPr>
          <w:rFonts w:eastAsia="Georgia" w:cs="Georgia"/>
          <w:szCs w:val="24"/>
        </w:rPr>
      </w:pPr>
      <w:r>
        <w:rPr>
          <w:rFonts w:eastAsia="Georgia" w:cs="Georgia"/>
          <w:szCs w:val="24"/>
        </w:rPr>
        <w:t>Delegate Assembly planning taskforce</w:t>
      </w:r>
    </w:p>
    <w:p w14:paraId="54394FA3" w14:textId="221ACD9D" w:rsidR="00203502" w:rsidRDefault="00203502" w:rsidP="00203502">
      <w:pPr>
        <w:widowControl w:val="0"/>
        <w:numPr>
          <w:ilvl w:val="2"/>
          <w:numId w:val="1"/>
        </w:numPr>
        <w:contextualSpacing/>
        <w:rPr>
          <w:rFonts w:eastAsia="Georgia" w:cs="Georgia"/>
          <w:szCs w:val="24"/>
        </w:rPr>
      </w:pPr>
      <w:r>
        <w:rPr>
          <w:rFonts w:eastAsia="Georgia" w:cs="Georgia"/>
          <w:szCs w:val="24"/>
        </w:rPr>
        <w:t>Diversity and Belonging Committee</w:t>
      </w:r>
    </w:p>
    <w:p w14:paraId="620A3B07" w14:textId="2B4BC1C2" w:rsidR="00203502" w:rsidRDefault="00203502" w:rsidP="00203502">
      <w:pPr>
        <w:widowControl w:val="0"/>
        <w:numPr>
          <w:ilvl w:val="2"/>
          <w:numId w:val="1"/>
        </w:numPr>
        <w:contextualSpacing/>
        <w:rPr>
          <w:rFonts w:eastAsia="Georgia" w:cs="Georgia"/>
          <w:szCs w:val="24"/>
        </w:rPr>
      </w:pPr>
      <w:r>
        <w:rPr>
          <w:rFonts w:eastAsia="Georgia" w:cs="Georgia"/>
          <w:szCs w:val="24"/>
        </w:rPr>
        <w:t>Finance Workgroup</w:t>
      </w:r>
    </w:p>
    <w:p w14:paraId="4ABEBB8A" w14:textId="354A323A" w:rsidR="00203502" w:rsidRDefault="00203502" w:rsidP="00203502">
      <w:pPr>
        <w:widowControl w:val="0"/>
        <w:numPr>
          <w:ilvl w:val="2"/>
          <w:numId w:val="1"/>
        </w:numPr>
        <w:contextualSpacing/>
        <w:rPr>
          <w:rFonts w:eastAsia="Georgia" w:cs="Georgia"/>
          <w:szCs w:val="24"/>
        </w:rPr>
      </w:pPr>
      <w:r>
        <w:rPr>
          <w:rFonts w:eastAsia="Georgia" w:cs="Georgia"/>
          <w:szCs w:val="24"/>
        </w:rPr>
        <w:t>Governance Workgroup</w:t>
      </w:r>
    </w:p>
    <w:p w14:paraId="7A75A505" w14:textId="379911D5" w:rsidR="00203502" w:rsidRDefault="00203502" w:rsidP="00203502">
      <w:pPr>
        <w:widowControl w:val="0"/>
        <w:numPr>
          <w:ilvl w:val="2"/>
          <w:numId w:val="1"/>
        </w:numPr>
        <w:contextualSpacing/>
        <w:rPr>
          <w:rFonts w:eastAsia="Georgia" w:cs="Georgia"/>
          <w:szCs w:val="24"/>
        </w:rPr>
      </w:pPr>
      <w:r>
        <w:rPr>
          <w:rFonts w:eastAsia="Georgia" w:cs="Georgia"/>
          <w:szCs w:val="24"/>
        </w:rPr>
        <w:t>Hiring/Selection Committee</w:t>
      </w:r>
      <w:r w:rsidR="00C07EB1">
        <w:rPr>
          <w:rFonts w:eastAsia="Georgia" w:cs="Georgia"/>
          <w:szCs w:val="24"/>
        </w:rPr>
        <w:t xml:space="preserve"> – </w:t>
      </w:r>
      <w:r w:rsidR="00C07EB1">
        <w:rPr>
          <w:rFonts w:eastAsia="Georgia" w:cs="Georgia"/>
          <w:i/>
          <w:szCs w:val="24"/>
        </w:rPr>
        <w:t>no report</w:t>
      </w:r>
    </w:p>
    <w:p w14:paraId="055664D2" w14:textId="064DE350" w:rsidR="00203502" w:rsidRDefault="00203502" w:rsidP="00203502">
      <w:pPr>
        <w:widowControl w:val="0"/>
        <w:numPr>
          <w:ilvl w:val="2"/>
          <w:numId w:val="1"/>
        </w:numPr>
        <w:contextualSpacing/>
        <w:rPr>
          <w:rFonts w:eastAsia="Georgia" w:cs="Georgia"/>
          <w:szCs w:val="24"/>
        </w:rPr>
      </w:pPr>
      <w:r>
        <w:rPr>
          <w:rFonts w:eastAsia="Georgia" w:cs="Georgia"/>
          <w:szCs w:val="24"/>
        </w:rPr>
        <w:t>IAF Workgroup</w:t>
      </w:r>
      <w:r w:rsidR="00C07EB1">
        <w:rPr>
          <w:rFonts w:eastAsia="Georgia" w:cs="Georgia"/>
          <w:szCs w:val="24"/>
        </w:rPr>
        <w:t xml:space="preserve"> – </w:t>
      </w:r>
      <w:r w:rsidR="00C07EB1">
        <w:rPr>
          <w:rFonts w:eastAsia="Georgia" w:cs="Georgia"/>
          <w:i/>
          <w:szCs w:val="24"/>
        </w:rPr>
        <w:t>no report</w:t>
      </w:r>
    </w:p>
    <w:p w14:paraId="13D2F90D" w14:textId="1D03124D" w:rsidR="00203502" w:rsidRDefault="00203502" w:rsidP="00203502">
      <w:pPr>
        <w:widowControl w:val="0"/>
        <w:numPr>
          <w:ilvl w:val="2"/>
          <w:numId w:val="1"/>
        </w:numPr>
        <w:contextualSpacing/>
        <w:rPr>
          <w:rFonts w:eastAsia="Georgia" w:cs="Georgia"/>
          <w:szCs w:val="24"/>
        </w:rPr>
      </w:pPr>
      <w:r>
        <w:rPr>
          <w:rFonts w:eastAsia="Georgia" w:cs="Georgia"/>
          <w:szCs w:val="24"/>
        </w:rPr>
        <w:t>Political Fund Oversight Workgroup</w:t>
      </w:r>
    </w:p>
    <w:p w14:paraId="19E1DFBA" w14:textId="23A37B6B" w:rsidR="00203502" w:rsidRDefault="00203502" w:rsidP="00203502">
      <w:pPr>
        <w:widowControl w:val="0"/>
        <w:numPr>
          <w:ilvl w:val="2"/>
          <w:numId w:val="1"/>
        </w:numPr>
        <w:contextualSpacing/>
        <w:rPr>
          <w:rFonts w:eastAsia="Georgia" w:cs="Georgia"/>
          <w:szCs w:val="24"/>
        </w:rPr>
      </w:pPr>
      <w:r>
        <w:rPr>
          <w:rFonts w:eastAsia="Georgia" w:cs="Georgia"/>
          <w:szCs w:val="24"/>
        </w:rPr>
        <w:t xml:space="preserve">Technology Advisory Taskforce </w:t>
      </w:r>
    </w:p>
    <w:p w14:paraId="38A436F3" w14:textId="38F83D7C" w:rsidR="000136D7" w:rsidRDefault="00F03CCD" w:rsidP="00EA5287">
      <w:pPr>
        <w:widowControl w:val="0"/>
        <w:numPr>
          <w:ilvl w:val="0"/>
          <w:numId w:val="1"/>
        </w:numPr>
        <w:contextualSpacing/>
        <w:rPr>
          <w:rFonts w:eastAsia="Georgia" w:cs="Georgia"/>
          <w:szCs w:val="24"/>
        </w:rPr>
      </w:pPr>
      <w:r w:rsidRPr="00FD697D">
        <w:rPr>
          <w:rFonts w:eastAsia="Georgia" w:cs="Georgia"/>
          <w:szCs w:val="24"/>
        </w:rPr>
        <w:t>Staff materials</w:t>
      </w:r>
    </w:p>
    <w:sectPr w:rsidR="000136D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B3C37" w14:textId="77777777" w:rsidR="004C7B17" w:rsidRDefault="004C7B17" w:rsidP="00516645">
      <w:pPr>
        <w:spacing w:line="240" w:lineRule="auto"/>
      </w:pPr>
      <w:r>
        <w:separator/>
      </w:r>
    </w:p>
  </w:endnote>
  <w:endnote w:type="continuationSeparator" w:id="0">
    <w:p w14:paraId="1FD68C16" w14:textId="77777777" w:rsidR="004C7B17" w:rsidRDefault="004C7B17" w:rsidP="00516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6106" w14:textId="77777777" w:rsidR="00516645" w:rsidRDefault="00516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D7C5" w14:textId="77777777" w:rsidR="00516645" w:rsidRDefault="00516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5BAA" w14:textId="77777777" w:rsidR="00516645" w:rsidRDefault="0051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85E78" w14:textId="77777777" w:rsidR="004C7B17" w:rsidRDefault="004C7B17" w:rsidP="00516645">
      <w:pPr>
        <w:spacing w:line="240" w:lineRule="auto"/>
      </w:pPr>
      <w:r>
        <w:separator/>
      </w:r>
    </w:p>
  </w:footnote>
  <w:footnote w:type="continuationSeparator" w:id="0">
    <w:p w14:paraId="4A9834FD" w14:textId="77777777" w:rsidR="004C7B17" w:rsidRDefault="004C7B17" w:rsidP="00516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2ACA" w14:textId="581C47EC" w:rsidR="00516645" w:rsidRDefault="00516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8F3F" w14:textId="50001A06" w:rsidR="00516645" w:rsidRDefault="00516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A8F4" w14:textId="4864A50A" w:rsidR="00516645" w:rsidRDefault="00516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AEF5185"/>
    <w:multiLevelType w:val="multilevel"/>
    <w:tmpl w:val="D84C71C6"/>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C507F3"/>
    <w:multiLevelType w:val="multilevel"/>
    <w:tmpl w:val="D84C71C6"/>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B359DB"/>
    <w:multiLevelType w:val="multilevel"/>
    <w:tmpl w:val="D84C71C6"/>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9F1BC4"/>
    <w:multiLevelType w:val="hybridMultilevel"/>
    <w:tmpl w:val="25C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84040"/>
    <w:multiLevelType w:val="hybridMultilevel"/>
    <w:tmpl w:val="FBAC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F6525"/>
    <w:multiLevelType w:val="hybridMultilevel"/>
    <w:tmpl w:val="32A0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C0EC5"/>
    <w:multiLevelType w:val="multilevel"/>
    <w:tmpl w:val="D84C71C6"/>
    <w:lvl w:ilvl="0">
      <w:start w:val="1"/>
      <w:numFmt w:val="bullet"/>
      <w:lvlText w:val=""/>
      <w:lvlJc w:val="left"/>
      <w:pPr>
        <w:ind w:left="1080" w:hanging="360"/>
      </w:pPr>
      <w:rPr>
        <w:rFonts w:ascii="Symbol" w:hAnsi="Symbol" w:hint="default"/>
        <w:u w:val="none"/>
      </w:rPr>
    </w:lvl>
    <w:lvl w:ilvl="1">
      <w:start w:val="1"/>
      <w:numFmt w:val="upperLetter"/>
      <w:lvlText w:val="%2."/>
      <w:lvlJc w:val="left"/>
      <w:pPr>
        <w:ind w:left="1800" w:hanging="360"/>
      </w:pPr>
      <w:rPr>
        <w:u w:val="none"/>
      </w:rPr>
    </w:lvl>
    <w:lvl w:ilvl="2">
      <w:start w:val="1"/>
      <w:numFmt w:val="bullet"/>
      <w:lvlText w:val=""/>
      <w:lvlJc w:val="left"/>
      <w:pPr>
        <w:ind w:left="2520" w:hanging="360"/>
      </w:pPr>
      <w:rPr>
        <w:rFonts w:ascii="Symbol" w:hAnsi="Symbol" w:hint="default"/>
        <w:u w:val="none"/>
      </w:rPr>
    </w:lvl>
    <w:lvl w:ilvl="3">
      <w:start w:val="1"/>
      <w:numFmt w:val="lowerLetter"/>
      <w:lvlText w:val="%4)"/>
      <w:lvlJc w:val="left"/>
      <w:pPr>
        <w:ind w:left="3240" w:hanging="360"/>
      </w:pPr>
      <w:rPr>
        <w:u w:val="none"/>
      </w:rPr>
    </w:lvl>
    <w:lvl w:ilvl="4">
      <w:start w:val="1"/>
      <w:numFmt w:val="decimal"/>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Roman"/>
      <w:lvlText w:val="(%7)"/>
      <w:lvlJc w:val="righ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1264C"/>
    <w:rsid w:val="000136D7"/>
    <w:rsid w:val="00013970"/>
    <w:rsid w:val="00021C5C"/>
    <w:rsid w:val="00067FCD"/>
    <w:rsid w:val="00073034"/>
    <w:rsid w:val="000842B9"/>
    <w:rsid w:val="000F41C4"/>
    <w:rsid w:val="000F7E5C"/>
    <w:rsid w:val="0016006D"/>
    <w:rsid w:val="00163038"/>
    <w:rsid w:val="00171B0D"/>
    <w:rsid w:val="00174527"/>
    <w:rsid w:val="00177802"/>
    <w:rsid w:val="001B0874"/>
    <w:rsid w:val="001B1775"/>
    <w:rsid w:val="001D55E4"/>
    <w:rsid w:val="001E1625"/>
    <w:rsid w:val="00203502"/>
    <w:rsid w:val="00213CC0"/>
    <w:rsid w:val="00217180"/>
    <w:rsid w:val="00236F06"/>
    <w:rsid w:val="00277F19"/>
    <w:rsid w:val="0029635E"/>
    <w:rsid w:val="00297F0A"/>
    <w:rsid w:val="002D0E07"/>
    <w:rsid w:val="002E4030"/>
    <w:rsid w:val="002F51D9"/>
    <w:rsid w:val="00325153"/>
    <w:rsid w:val="0034403A"/>
    <w:rsid w:val="00350910"/>
    <w:rsid w:val="00373B00"/>
    <w:rsid w:val="00384E00"/>
    <w:rsid w:val="003908E2"/>
    <w:rsid w:val="003911E5"/>
    <w:rsid w:val="003B7A96"/>
    <w:rsid w:val="003C26AD"/>
    <w:rsid w:val="003C39AF"/>
    <w:rsid w:val="003C47F0"/>
    <w:rsid w:val="003F4E62"/>
    <w:rsid w:val="00453737"/>
    <w:rsid w:val="0046029E"/>
    <w:rsid w:val="004603D4"/>
    <w:rsid w:val="00494573"/>
    <w:rsid w:val="004C7B17"/>
    <w:rsid w:val="004D544C"/>
    <w:rsid w:val="004E499F"/>
    <w:rsid w:val="00516645"/>
    <w:rsid w:val="0054096A"/>
    <w:rsid w:val="005505D0"/>
    <w:rsid w:val="00560ABB"/>
    <w:rsid w:val="0057746E"/>
    <w:rsid w:val="005A5BB6"/>
    <w:rsid w:val="005B63F9"/>
    <w:rsid w:val="005C7E60"/>
    <w:rsid w:val="005E431D"/>
    <w:rsid w:val="005F1698"/>
    <w:rsid w:val="00613B08"/>
    <w:rsid w:val="00632F0D"/>
    <w:rsid w:val="006355E6"/>
    <w:rsid w:val="00662E7A"/>
    <w:rsid w:val="006951B6"/>
    <w:rsid w:val="006D767A"/>
    <w:rsid w:val="006F3F61"/>
    <w:rsid w:val="00707510"/>
    <w:rsid w:val="007778E3"/>
    <w:rsid w:val="007A153B"/>
    <w:rsid w:val="007A326C"/>
    <w:rsid w:val="007D6516"/>
    <w:rsid w:val="007F0603"/>
    <w:rsid w:val="007F3412"/>
    <w:rsid w:val="008064E9"/>
    <w:rsid w:val="0080664B"/>
    <w:rsid w:val="0083373D"/>
    <w:rsid w:val="00874853"/>
    <w:rsid w:val="00882EAB"/>
    <w:rsid w:val="008869E4"/>
    <w:rsid w:val="008934E3"/>
    <w:rsid w:val="0089614F"/>
    <w:rsid w:val="008B211B"/>
    <w:rsid w:val="008B77D8"/>
    <w:rsid w:val="008C28EC"/>
    <w:rsid w:val="008D6DB1"/>
    <w:rsid w:val="0090724B"/>
    <w:rsid w:val="009316FA"/>
    <w:rsid w:val="009453AE"/>
    <w:rsid w:val="0095749E"/>
    <w:rsid w:val="0096722F"/>
    <w:rsid w:val="009A0C34"/>
    <w:rsid w:val="009A2F04"/>
    <w:rsid w:val="009B6404"/>
    <w:rsid w:val="009D4AE8"/>
    <w:rsid w:val="00A0711E"/>
    <w:rsid w:val="00A164D2"/>
    <w:rsid w:val="00A2390F"/>
    <w:rsid w:val="00A34AD4"/>
    <w:rsid w:val="00A43BAC"/>
    <w:rsid w:val="00A62725"/>
    <w:rsid w:val="00A66D2F"/>
    <w:rsid w:val="00A76ACA"/>
    <w:rsid w:val="00A7704B"/>
    <w:rsid w:val="00AA1B24"/>
    <w:rsid w:val="00B11496"/>
    <w:rsid w:val="00B34305"/>
    <w:rsid w:val="00B57F45"/>
    <w:rsid w:val="00B706AC"/>
    <w:rsid w:val="00B846EF"/>
    <w:rsid w:val="00B862CA"/>
    <w:rsid w:val="00B94648"/>
    <w:rsid w:val="00BB19A2"/>
    <w:rsid w:val="00BB2547"/>
    <w:rsid w:val="00BB46F3"/>
    <w:rsid w:val="00BC4C4D"/>
    <w:rsid w:val="00BD58B1"/>
    <w:rsid w:val="00C01776"/>
    <w:rsid w:val="00C017A2"/>
    <w:rsid w:val="00C07EB1"/>
    <w:rsid w:val="00C75110"/>
    <w:rsid w:val="00C83C22"/>
    <w:rsid w:val="00C8623C"/>
    <w:rsid w:val="00CC3A68"/>
    <w:rsid w:val="00CF0F42"/>
    <w:rsid w:val="00CF5049"/>
    <w:rsid w:val="00D1666E"/>
    <w:rsid w:val="00D230E7"/>
    <w:rsid w:val="00D4658F"/>
    <w:rsid w:val="00D70049"/>
    <w:rsid w:val="00DA71C1"/>
    <w:rsid w:val="00DB5F23"/>
    <w:rsid w:val="00DD3910"/>
    <w:rsid w:val="00DE0CD5"/>
    <w:rsid w:val="00DE526D"/>
    <w:rsid w:val="00DE5E44"/>
    <w:rsid w:val="00DF22BB"/>
    <w:rsid w:val="00E41E37"/>
    <w:rsid w:val="00E7771A"/>
    <w:rsid w:val="00EA5287"/>
    <w:rsid w:val="00ED450E"/>
    <w:rsid w:val="00EE11E8"/>
    <w:rsid w:val="00EE4AE8"/>
    <w:rsid w:val="00EE585B"/>
    <w:rsid w:val="00F03CCD"/>
    <w:rsid w:val="00F31A4A"/>
    <w:rsid w:val="00F518D5"/>
    <w:rsid w:val="00F97684"/>
    <w:rsid w:val="00FC058C"/>
    <w:rsid w:val="00FD0460"/>
    <w:rsid w:val="00FD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61BA7"/>
  <w15:docId w15:val="{6814FDFC-38CF-498F-937D-E9993B1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516"/>
    <w:rPr>
      <w:rFonts w:ascii="Georgia" w:hAnsi="Georgia"/>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paragraph" w:styleId="ListParagraph">
    <w:name w:val="List Paragraph"/>
    <w:basedOn w:val="Normal"/>
    <w:uiPriority w:val="34"/>
    <w:qFormat/>
    <w:rsid w:val="0029635E"/>
    <w:pPr>
      <w:ind w:left="720"/>
      <w:contextualSpacing/>
    </w:pPr>
  </w:style>
  <w:style w:type="paragraph" w:styleId="Header">
    <w:name w:val="header"/>
    <w:basedOn w:val="Normal"/>
    <w:link w:val="HeaderChar"/>
    <w:uiPriority w:val="99"/>
    <w:unhideWhenUsed/>
    <w:rsid w:val="00516645"/>
    <w:pPr>
      <w:tabs>
        <w:tab w:val="center" w:pos="4680"/>
        <w:tab w:val="right" w:pos="9360"/>
      </w:tabs>
      <w:spacing w:line="240" w:lineRule="auto"/>
    </w:pPr>
  </w:style>
  <w:style w:type="character" w:customStyle="1" w:styleId="HeaderChar">
    <w:name w:val="Header Char"/>
    <w:basedOn w:val="DefaultParagraphFont"/>
    <w:link w:val="Header"/>
    <w:uiPriority w:val="99"/>
    <w:rsid w:val="00516645"/>
    <w:rPr>
      <w:rFonts w:ascii="Georgia" w:hAnsi="Georgia"/>
      <w:sz w:val="24"/>
    </w:rPr>
  </w:style>
  <w:style w:type="paragraph" w:styleId="Footer">
    <w:name w:val="footer"/>
    <w:basedOn w:val="Normal"/>
    <w:link w:val="FooterChar"/>
    <w:uiPriority w:val="99"/>
    <w:unhideWhenUsed/>
    <w:rsid w:val="00516645"/>
    <w:pPr>
      <w:tabs>
        <w:tab w:val="center" w:pos="4680"/>
        <w:tab w:val="right" w:pos="9360"/>
      </w:tabs>
      <w:spacing w:line="240" w:lineRule="auto"/>
    </w:pPr>
  </w:style>
  <w:style w:type="character" w:customStyle="1" w:styleId="FooterChar">
    <w:name w:val="Footer Char"/>
    <w:basedOn w:val="DefaultParagraphFont"/>
    <w:link w:val="Footer"/>
    <w:uiPriority w:val="99"/>
    <w:rsid w:val="00516645"/>
    <w:rPr>
      <w:rFonts w:ascii="Georgia" w:hAnsi="Georgia"/>
      <w:sz w:val="24"/>
    </w:rPr>
  </w:style>
  <w:style w:type="paragraph" w:styleId="NormalWeb">
    <w:name w:val="Normal (Web)"/>
    <w:basedOn w:val="Normal"/>
    <w:uiPriority w:val="99"/>
    <w:semiHidden/>
    <w:unhideWhenUsed/>
    <w:rsid w:val="00A43BAC"/>
    <w:pPr>
      <w:spacing w:before="100" w:beforeAutospacing="1" w:after="100" w:afterAutospacing="1" w:line="240" w:lineRule="auto"/>
    </w:pPr>
    <w:rPr>
      <w:rFonts w:ascii="Times New Roman" w:eastAsiaTheme="minorEastAsia" w:hAnsi="Times New Roman" w:cs="Times New Roman"/>
      <w:szCs w:val="24"/>
      <w:lang w:val="en-US"/>
    </w:rPr>
  </w:style>
  <w:style w:type="paragraph" w:styleId="BalloonText">
    <w:name w:val="Balloon Text"/>
    <w:basedOn w:val="Normal"/>
    <w:link w:val="BalloonTextChar"/>
    <w:uiPriority w:val="99"/>
    <w:semiHidden/>
    <w:unhideWhenUsed/>
    <w:rsid w:val="00A43BA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3BA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0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e.org/media/173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cp:lastModifiedBy>Lynn Butcher MAPE</cp:lastModifiedBy>
  <cp:revision>3</cp:revision>
  <dcterms:created xsi:type="dcterms:W3CDTF">2021-09-20T01:00:00Z</dcterms:created>
  <dcterms:modified xsi:type="dcterms:W3CDTF">2021-09-20T01:00:00Z</dcterms:modified>
</cp:coreProperties>
</file>